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w:body>
    <w:p>
      <w:pPr>
        <w:jc w:val="center"/>
        <w:rPr>
          <w:rFonts w:ascii="Helvetica Neue" w:hAnsi="Helvetica Neue" w:hint="eastAsia"/>
          <w:b/>
          <w:color w:val="000000"/>
          <w:sz w:val="32"/>
          <w:szCs w:val="32"/>
        </w:rPr>
      </w:pPr>
      <w:r>
        <w:rPr>
          <w:rFonts w:hint="eastAsia"/>
          <w:sz w:val="32"/>
          <w:szCs w:val="32"/>
        </w:rPr>
        <w:t>12·5</w:t>
      </w:r>
      <w:r>
        <w:rPr>
          <w:rFonts w:ascii="Helvetica Neue" w:hAnsi="Helvetica Neue"/>
          <w:b/>
          <w:color w:val="000000"/>
          <w:sz w:val="32"/>
          <w:szCs w:val="32"/>
        </w:rPr>
        <w:t xml:space="preserve"> “共青团员义务星期六”主题活动</w:t>
      </w:r>
    </w:p>
    <w:p>
      <w:pPr>
        <w:jc w:val="center"/>
        <w:rPr>
          <w:rFonts w:ascii="Helvetica Neue" w:hAnsi="Helvetica Neue" w:hint="eastAsia"/>
          <w:b/>
          <w:color w:val="000000"/>
          <w:sz w:val="32"/>
          <w:szCs w:val="32"/>
        </w:rPr>
      </w:pPr>
      <w:r>
        <w:rPr>
          <w:rFonts w:ascii="Helvetica Neue" w:hAnsi="Helvetica Neue" w:hint="eastAsia"/>
          <w:b/>
          <w:color w:val="000000"/>
          <w:sz w:val="32"/>
          <w:szCs w:val="32"/>
        </w:rPr>
        <w:t>数字共青团系统操作指南</w:t>
      </w:r>
    </w:p>
    <w:p>
      <w:pPr>
        <w:jc w:val="center"/>
        <w:rPr>
          <w:rFonts w:ascii="Helvetica Neue" w:hAnsi="Helvetica Neue" w:hint="eastAsia"/>
          <w:b/>
          <w:color w:val="000000"/>
          <w:sz w:val="32"/>
          <w:szCs w:val="32"/>
        </w:rPr>
      </w:pPr>
      <w:r>
        <w:rPr>
          <w:rFonts w:ascii="Helvetica Neue" w:hAnsi="Helvetica Neue" w:hint="eastAsia"/>
          <w:b/>
          <w:color w:val="000000"/>
          <w:sz w:val="32"/>
          <w:szCs w:val="32"/>
        </w:rPr>
        <w:t>（团委版）</w:t>
      </w:r>
    </w:p>
    <w:p>
      <w:pPr>
        <w:ind w:firstLine="540"/>
        <w:jc w:val="left"/>
        <w:rPr>
          <w:rFonts w:ascii="Helvetica Neue" w:hAnsi="Helvetica Neue" w:hint="eastAsia"/>
          <w:color w:val="000000"/>
          <w:sz w:val="28"/>
          <w:szCs w:val="28"/>
        </w:rPr>
      </w:pPr>
      <w:r>
        <w:rPr>
          <w:rFonts w:ascii="Helvetica Neue" w:hAnsi="Helvetica Neue" w:hint="eastAsia"/>
          <w:color w:val="000000"/>
          <w:sz w:val="28"/>
          <w:szCs w:val="28"/>
        </w:rPr>
        <w:t>近日，共青团福建省委陆续下发了《关于在“12•5”国际志愿者日集中开展“共青团员义务星期六”主题活动的通知》与《关于开展"12•5"国际志愿者日"共青团员义务星期六"主题活动考核评比的通知》，相关通知明确要求各级团组织要充分应用数字共青团系统开展本次工作，并通过数字共青团系统进行本次活动的考核评价工作。为方便各级团干通过数字共青团系统开展本次工作，特编写本操作指南：</w:t>
      </w:r>
    </w:p>
    <w:p>
      <w:pPr>
        <w:pStyle w:val="18"/>
      </w:pPr>
      <w:r>
        <w:rPr>
          <w:lang w:val="zh-CN"/>
        </w:rPr>
        <w:t>目录</w:t>
      </w:r>
    </w:p>
    <w:p>
      <w:pPr>
        <w:pStyle w:val="19"/>
        <w:tabs>
          <w:tab w:val="right" w:leader="dot" w:pos="8296"/>
        </w:tabs>
      </w:pPr>
      <w:r>
        <w:fldChar w:fldCharType="begin"/>
      </w:r>
      <w:r>
        <w:instrText xml:space="preserve"> TOC \o "1-3" \h \z \u </w:instrText>
      </w:r>
      <w:r>
        <w:fldChar w:fldCharType="separate"/>
      </w:r>
      <w:r>
        <w:fldChar w:fldCharType="begin"/>
      </w:r>
      <w:r>
        <w:instrText>Hyperlink \l "_Toc436412113"</w:instrText>
      </w:r>
      <w:r>
        <w:fldChar w:fldCharType="separate"/>
      </w:r>
      <w:r>
        <w:rPr>
          <w:rFonts w:hint="eastAsia"/>
        </w:rPr>
        <w:t>一、考核项目与功能操作</w:t>
      </w:r>
      <w:r>
        <w:tab/>
      </w:r>
      <w:r>
        <w:fldChar w:fldCharType="begin"/>
      </w:r>
      <w:r>
        <w:instrText xml:space="preserve"> PAGEREF _Toc436412113 \h </w:instrText>
      </w:r>
      <w:r>
        <w:fldChar w:fldCharType="separate"/>
      </w:r>
      <w:r>
        <w:t>2</w:t>
      </w:r>
      <w:r>
        <w:fldChar w:fldCharType="end"/>
      </w:r>
      <w:r>
        <w:fldChar w:fldCharType="end"/>
      </w:r>
    </w:p>
    <w:p>
      <w:pPr>
        <w:pStyle w:val="19"/>
        <w:tabs>
          <w:tab w:val="right" w:leader="dot" w:pos="8296"/>
        </w:tabs>
      </w:pPr>
      <w:r>
        <w:fldChar w:fldCharType="begin"/>
      </w:r>
      <w:r>
        <w:instrText>Hyperlink \l "_Toc436412114"</w:instrText>
      </w:r>
      <w:r>
        <w:fldChar w:fldCharType="separate"/>
      </w:r>
      <w:r>
        <w:rPr>
          <w:rFonts w:hint="eastAsia"/>
        </w:rPr>
        <w:t>二、操作指南</w:t>
      </w:r>
      <w:r>
        <w:tab/>
      </w:r>
      <w:r>
        <w:fldChar w:fldCharType="begin"/>
      </w:r>
      <w:r>
        <w:instrText xml:space="preserve"> PAGEREF _Toc436412114 \h </w:instrText>
      </w:r>
      <w:r>
        <w:fldChar w:fldCharType="separate"/>
      </w:r>
      <w:r>
        <w:t>6</w:t>
      </w:r>
      <w:r>
        <w:fldChar w:fldCharType="end"/>
      </w:r>
      <w:r>
        <w:fldChar w:fldCharType="end"/>
      </w:r>
    </w:p>
    <w:p>
      <w:pPr>
        <w:pStyle w:val="20"/>
        <w:tabs>
          <w:tab w:val="right" w:leader="dot" w:pos="8296"/>
        </w:tabs>
      </w:pPr>
      <w:r>
        <w:fldChar w:fldCharType="begin"/>
      </w:r>
      <w:r>
        <w:instrText>Hyperlink \l "_Toc436412115"</w:instrText>
      </w:r>
      <w:r>
        <w:fldChar w:fldCharType="separate"/>
      </w:r>
      <w:r>
        <w:rPr>
          <w:rFonts w:hint="eastAsia"/>
        </w:rPr>
        <w:t>（一）工作部署</w:t>
      </w:r>
      <w:r>
        <w:tab/>
      </w:r>
      <w:r>
        <w:fldChar w:fldCharType="begin"/>
      </w:r>
      <w:r>
        <w:instrText xml:space="preserve"> PAGEREF _Toc436412115 \h </w:instrText>
      </w:r>
      <w:r>
        <w:fldChar w:fldCharType="separate"/>
      </w:r>
      <w:r>
        <w:t>6</w:t>
      </w:r>
      <w:r>
        <w:fldChar w:fldCharType="end"/>
      </w:r>
      <w:r>
        <w:fldChar w:fldCharType="end"/>
      </w:r>
    </w:p>
    <w:p>
      <w:pPr>
        <w:pStyle w:val="20"/>
        <w:tabs>
          <w:tab w:val="right" w:leader="dot" w:pos="8296"/>
        </w:tabs>
      </w:pPr>
      <w:r>
        <w:fldChar w:fldCharType="begin"/>
      </w:r>
      <w:r>
        <w:instrText>Hyperlink \l "_Toc436412116"</w:instrText>
      </w:r>
      <w:r>
        <w:fldChar w:fldCharType="separate"/>
      </w:r>
      <w:r>
        <w:rPr>
          <w:rFonts w:hint="eastAsia"/>
          <w:shd w:val="clear" w:color="auto" w:fill="FFFFFF"/>
        </w:rPr>
        <w:t>（二）落实反馈</w:t>
      </w:r>
      <w:r>
        <w:tab/>
      </w:r>
      <w:r>
        <w:fldChar w:fldCharType="begin"/>
      </w:r>
      <w:r>
        <w:instrText xml:space="preserve"> PAGEREF _Toc436412116 \h </w:instrText>
      </w:r>
      <w:r>
        <w:fldChar w:fldCharType="separate"/>
      </w:r>
      <w:r>
        <w:t>7</w:t>
      </w:r>
      <w:r>
        <w:fldChar w:fldCharType="end"/>
      </w:r>
      <w:r>
        <w:fldChar w:fldCharType="end"/>
      </w:r>
    </w:p>
    <w:p>
      <w:pPr>
        <w:pStyle w:val="20"/>
        <w:tabs>
          <w:tab w:val="right" w:leader="dot" w:pos="8296"/>
        </w:tabs>
      </w:pPr>
      <w:r>
        <w:fldChar w:fldCharType="begin"/>
      </w:r>
      <w:r>
        <w:instrText>Hyperlink \l "_Toc436412117"</w:instrText>
      </w:r>
      <w:r>
        <w:fldChar w:fldCharType="separate"/>
      </w:r>
      <w:r>
        <w:rPr>
          <w:rFonts w:hint="eastAsia"/>
        </w:rPr>
        <w:t>（三）查看反馈</w:t>
      </w:r>
      <w:r>
        <w:tab/>
      </w:r>
      <w:r>
        <w:fldChar w:fldCharType="begin"/>
      </w:r>
      <w:r>
        <w:instrText xml:space="preserve"> PAGEREF _Toc436412117 \h </w:instrText>
      </w:r>
      <w:r>
        <w:fldChar w:fldCharType="separate"/>
      </w:r>
      <w:r>
        <w:t>8</w:t>
      </w:r>
      <w:r>
        <w:fldChar w:fldCharType="end"/>
      </w:r>
      <w:r>
        <w:fldChar w:fldCharType="end"/>
      </w:r>
    </w:p>
    <w:p>
      <w:pPr>
        <w:pStyle w:val="20"/>
        <w:tabs>
          <w:tab w:val="right" w:leader="dot" w:pos="8296"/>
        </w:tabs>
      </w:pPr>
      <w:r>
        <w:fldChar w:fldCharType="begin"/>
      </w:r>
      <w:r>
        <w:instrText>Hyperlink \l "_Toc436412118"</w:instrText>
      </w:r>
      <w:r>
        <w:fldChar w:fldCharType="separate"/>
      </w:r>
      <w:r>
        <w:rPr>
          <w:rFonts w:hint="eastAsia"/>
        </w:rPr>
        <w:t>（四）活动发起与总结（团委）</w:t>
      </w:r>
      <w:r>
        <w:tab/>
      </w:r>
      <w:r>
        <w:fldChar w:fldCharType="begin"/>
      </w:r>
      <w:r>
        <w:instrText xml:space="preserve"> PAGEREF _Toc436412118 \h </w:instrText>
      </w:r>
      <w:r>
        <w:fldChar w:fldCharType="separate"/>
      </w:r>
      <w:r>
        <w:t>9</w:t>
      </w:r>
      <w:r>
        <w:fldChar w:fldCharType="end"/>
      </w:r>
      <w:r>
        <w:fldChar w:fldCharType="end"/>
      </w:r>
    </w:p>
    <w:p>
      <w:pPr>
        <w:pStyle w:val="21"/>
        <w:tabs>
          <w:tab w:val="right" w:leader="dot" w:pos="8296"/>
        </w:tabs>
      </w:pPr>
      <w:r>
        <w:fldChar w:fldCharType="begin"/>
      </w:r>
      <w:r>
        <w:instrText>Hyperlink \l "_Toc436412119"</w:instrText>
      </w:r>
      <w:r>
        <w:fldChar w:fldCharType="separate"/>
      </w:r>
      <w:r>
        <w:t>1</w:t>
      </w:r>
      <w:r>
        <w:rPr>
          <w:rFonts w:hint="eastAsia"/>
        </w:rPr>
        <w:t>、活动发起</w:t>
      </w:r>
      <w:r>
        <w:tab/>
      </w:r>
      <w:r>
        <w:fldChar w:fldCharType="begin"/>
      </w:r>
      <w:r>
        <w:instrText xml:space="preserve"> PAGEREF _Toc436412119 \h </w:instrText>
      </w:r>
      <w:r>
        <w:fldChar w:fldCharType="separate"/>
      </w:r>
      <w:r>
        <w:t>9</w:t>
      </w:r>
      <w:r>
        <w:fldChar w:fldCharType="end"/>
      </w:r>
      <w:r>
        <w:fldChar w:fldCharType="end"/>
      </w:r>
    </w:p>
    <w:p>
      <w:pPr>
        <w:pStyle w:val="21"/>
        <w:tabs>
          <w:tab w:val="right" w:leader="dot" w:pos="8296"/>
        </w:tabs>
      </w:pPr>
      <w:r>
        <w:fldChar w:fldCharType="begin"/>
      </w:r>
      <w:r>
        <w:instrText>Hyperlink \l "_Toc436412120"</w:instrText>
      </w:r>
      <w:r>
        <w:fldChar w:fldCharType="separate"/>
      </w:r>
      <w:r>
        <w:t>2</w:t>
      </w:r>
      <w:r>
        <w:rPr>
          <w:rFonts w:hint="eastAsia"/>
        </w:rPr>
        <w:t>、活动总结</w:t>
      </w:r>
      <w:r>
        <w:tab/>
      </w:r>
      <w:r>
        <w:fldChar w:fldCharType="begin"/>
      </w:r>
      <w:r>
        <w:instrText xml:space="preserve"> PAGEREF _Toc436412120 \h </w:instrText>
      </w:r>
      <w:r>
        <w:fldChar w:fldCharType="separate"/>
      </w:r>
      <w:r>
        <w:t>10</w:t>
      </w:r>
      <w:r>
        <w:fldChar w:fldCharType="end"/>
      </w:r>
      <w:r>
        <w:fldChar w:fldCharType="end"/>
      </w:r>
    </w:p>
    <w:p>
      <w:pPr>
        <w:pStyle w:val="20"/>
        <w:tabs>
          <w:tab w:val="right" w:leader="dot" w:pos="8296"/>
        </w:tabs>
      </w:pPr>
      <w:r>
        <w:fldChar w:fldCharType="begin"/>
      </w:r>
      <w:r>
        <w:instrText>Hyperlink \l "_Toc436412121"</w:instrText>
      </w:r>
      <w:r>
        <w:fldChar w:fldCharType="separate"/>
      </w:r>
      <w:r>
        <w:rPr>
          <w:rFonts w:hint="eastAsia"/>
          <w:shd w:val="clear" w:color="auto" w:fill="FFFFFF"/>
        </w:rPr>
        <w:t>（五）下级团组织活动开展情况查询、评价与本级优秀案例选取</w:t>
      </w:r>
      <w:r>
        <w:tab/>
      </w:r>
      <w:r>
        <w:fldChar w:fldCharType="begin"/>
      </w:r>
      <w:r>
        <w:instrText xml:space="preserve"> PAGEREF _Toc436412121 \h </w:instrText>
      </w:r>
      <w:r>
        <w:fldChar w:fldCharType="separate"/>
      </w:r>
      <w:r>
        <w:t>10</w:t>
      </w:r>
      <w:r>
        <w:fldChar w:fldCharType="end"/>
      </w:r>
      <w:r>
        <w:fldChar w:fldCharType="end"/>
      </w:r>
    </w:p>
    <w:p>
      <w:pPr>
        <w:pStyle w:val="20"/>
        <w:tabs>
          <w:tab w:val="right" w:leader="dot" w:pos="8296"/>
        </w:tabs>
      </w:pPr>
      <w:r>
        <w:fldChar w:fldCharType="begin"/>
      </w:r>
      <w:r>
        <w:instrText>Hyperlink \l "_Toc436412122"</w:instrText>
      </w:r>
      <w:r>
        <w:fldChar w:fldCharType="separate"/>
      </w:r>
      <w:r>
        <w:rPr>
          <w:rFonts w:hint="eastAsia"/>
          <w:shd w:val="clear" w:color="auto" w:fill="FFFFFF"/>
        </w:rPr>
        <w:t>（六）工作汇报</w:t>
      </w:r>
      <w:r>
        <w:tab/>
      </w:r>
      <w:r>
        <w:fldChar w:fldCharType="begin"/>
      </w:r>
      <w:r>
        <w:instrText xml:space="preserve"> PAGEREF _Toc436412122 \h </w:instrText>
      </w:r>
      <w:r>
        <w:fldChar w:fldCharType="separate"/>
      </w:r>
      <w:r>
        <w:t>11</w:t>
      </w:r>
      <w:r>
        <w:fldChar w:fldCharType="end"/>
      </w:r>
      <w:r>
        <w:fldChar w:fldCharType="end"/>
      </w:r>
    </w:p>
    <w:p>
      <w:pPr>
        <w:pStyle w:val="20"/>
        <w:tabs>
          <w:tab w:val="right" w:leader="dot" w:pos="8296"/>
        </w:tabs>
      </w:pPr>
      <w:r>
        <w:fldChar w:fldCharType="begin"/>
      </w:r>
      <w:r>
        <w:instrText>Hyperlink \l "_Toc436412123"</w:instrText>
      </w:r>
      <w:r>
        <w:fldChar w:fldCharType="separate"/>
      </w:r>
      <w:r>
        <w:rPr>
          <w:rFonts w:hint="eastAsia"/>
          <w:shd w:val="clear" w:color="auto" w:fill="FFFFFF"/>
        </w:rPr>
        <w:t>（七）查看下级工作汇报</w:t>
      </w:r>
      <w:r>
        <w:tab/>
      </w:r>
      <w:r>
        <w:fldChar w:fldCharType="begin"/>
      </w:r>
      <w:r>
        <w:instrText xml:space="preserve"> PAGEREF _Toc436412123 \h </w:instrText>
      </w:r>
      <w:r>
        <w:fldChar w:fldCharType="separate"/>
      </w:r>
      <w:r>
        <w:t>12</w:t>
      </w:r>
      <w:r>
        <w:fldChar w:fldCharType="end"/>
      </w:r>
      <w:r>
        <w:fldChar w:fldCharType="end"/>
      </w:r>
    </w:p>
    <w:p>
      <w:r>
        <w:fldChar w:fldCharType="end"/>
      </w:r>
    </w:p>
    <w:p>
      <w:pPr>
        <w:sectPr>
          <w:pgSz w:w="11906" w:h="16838"/>
          <w:pgMar w:top="1440" w:right="1800" w:bottom="1440" w:left="1800" w:header="851" w:footer="992" w:gutter="0"/>
          <w:docGrid w:type="lines" w:linePitch="312" w:charSpace="0"/>
        </w:sectPr>
      </w:pPr>
      <w:r>
        <w:rPr>
          <w:rFonts w:ascii="Helvetica Neue" w:hAnsi="Helvetica Neue" w:hint="eastAsia"/>
          <w:color w:val="000000"/>
          <w:sz w:val="28"/>
          <w:szCs w:val="28"/>
        </w:rPr>
        <w:br w:type="page"/>
      </w:r>
    </w:p>
    <w:p>
      <w:pPr>
        <w:pStyle w:val="1"/>
      </w:pPr>
      <w:bookmarkStart w:id="0" w:name="_Toc436412113"/>
      <w:r>
        <w:rPr>
          <w:rFonts w:hint="eastAsia"/>
        </w:rPr>
        <w:t>一、考核项目与功能操作</w:t>
      </w:r>
      <w:bookmarkEnd w:id="0"/>
    </w:p>
    <w:p>
      <w:pPr>
        <w:ind w:firstLine="540"/>
        <w:jc w:val="left"/>
        <w:rPr>
          <w:rFonts w:ascii="楷体" w:eastAsia="楷体"/>
          <w:color w:val="000000"/>
          <w:sz w:val="28"/>
          <w:szCs w:val="28"/>
        </w:rPr>
      </w:pPr>
      <w:r>
        <w:rPr>
          <w:rFonts w:ascii="Helvetica Neue" w:hAnsi="Helvetica Neue" w:hint="eastAsia"/>
          <w:color w:val="000000"/>
          <w:sz w:val="28"/>
          <w:szCs w:val="28"/>
        </w:rPr>
        <w:t>为便于各级团组织清晰了解本次量化考核内容与系统功能模块之间的关系，特制作“12·5活动量化考核项目与系统功能对照表”供团干参考。</w:t>
      </w:r>
      <w:r>
        <w:rPr>
          <w:rFonts w:ascii="楷体" w:eastAsia="楷体" w:hint="eastAsia"/>
          <w:color w:val="000000"/>
          <w:sz w:val="28"/>
          <w:szCs w:val="28"/>
        </w:rPr>
        <w:t>（注：团委的所有工作均在综合管理系统完成，团支部的所有工作均在团务服务系统完成）</w:t>
      </w:r>
    </w:p>
    <w:tbl>
      <w:tblPr>
        <w:jc w:val="left"/>
        <w:tblInd w:w="250" w:type="dxa"/>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410"/>
        <w:gridCol w:w="3827"/>
        <w:gridCol w:w="1276"/>
        <w:gridCol w:w="6237"/>
      </w:tblGrid>
      <w:tr>
        <w:tc>
          <w:tcPr>
            <w:tcW w:w="13750" w:type="dxa"/>
            <w:gridSpan w:val="4"/>
            <w:vAlign w:val="center"/>
          </w:tcPr>
          <w:p>
            <w:pPr>
              <w:spacing w:line="580" w:lineRule="exact"/>
              <w:jc w:val="center"/>
              <w:rPr>
                <w:rFonts w:ascii="楷体" w:eastAsia="楷体"/>
                <w:b/>
                <w:bCs/>
                <w:sz w:val="32"/>
                <w:szCs w:val="32"/>
                <w:shd w:val="clear" w:color="auto" w:fill="FFFFFF"/>
              </w:rPr>
            </w:pPr>
            <w:r>
              <w:rPr>
                <w:rFonts w:ascii="楷体" w:eastAsia="楷体" w:hint="eastAsia"/>
                <w:color w:val="7B090A"/>
                <w:sz w:val="32"/>
                <w:szCs w:val="32"/>
              </w:rPr>
              <w:t>12</w:t>
            </w:r>
            <w:r>
              <w:rPr>
                <w:rFonts w:ascii="楷体" w:eastAsia="寰蒋闆呴粦" w:hAnsi="楷体" w:hint="eastAsia"/>
                <w:color w:val="7B090A"/>
                <w:sz w:val="32"/>
                <w:szCs w:val="32"/>
              </w:rPr>
              <w:t>•</w:t>
            </w:r>
            <w:r>
              <w:rPr>
                <w:rFonts w:ascii="楷体" w:eastAsia="楷体" w:hint="eastAsia"/>
                <w:color w:val="7B090A"/>
                <w:sz w:val="32"/>
                <w:szCs w:val="32"/>
              </w:rPr>
              <w:t>5活动量化考核项目与系统功能对照表</w:t>
            </w:r>
          </w:p>
        </w:tc>
      </w:tr>
      <w:tr>
        <w:trPr>
          <w:trHeight w:val="170"/>
        </w:trPr>
        <w:tc>
          <w:tcPr>
            <w:tcW w:w="2410" w:type="dxa"/>
            <w:vAlign w:val="center"/>
          </w:tcPr>
          <w:p>
            <w:pPr>
              <w:jc w:val="center"/>
              <w:rPr>
                <w:rFonts w:ascii="楷体" w:eastAsia="楷体"/>
                <w:szCs w:val="21"/>
              </w:rPr>
            </w:pPr>
            <w:r>
              <w:rPr>
                <w:rFonts w:ascii="楷体" w:eastAsia="楷体" w:hint="eastAsia"/>
                <w:szCs w:val="21"/>
              </w:rPr>
              <w:t>考核对象</w:t>
            </w:r>
          </w:p>
        </w:tc>
        <w:tc>
          <w:tcPr>
            <w:tcW w:w="3827" w:type="dxa"/>
            <w:vAlign w:val="center"/>
          </w:tcPr>
          <w:p>
            <w:pPr>
              <w:jc w:val="center"/>
              <w:rPr>
                <w:rFonts w:ascii="楷体" w:eastAsia="楷体"/>
                <w:szCs w:val="21"/>
              </w:rPr>
            </w:pPr>
            <w:r>
              <w:rPr>
                <w:rFonts w:ascii="楷体" w:eastAsia="楷体" w:hint="eastAsia"/>
                <w:szCs w:val="21"/>
              </w:rPr>
              <w:t>考核项目</w:t>
            </w:r>
          </w:p>
        </w:tc>
        <w:tc>
          <w:tcPr>
            <w:tcW w:w="1276" w:type="dxa"/>
            <w:vAlign w:val="center"/>
          </w:tcPr>
          <w:p>
            <w:pPr>
              <w:jc w:val="center"/>
              <w:rPr>
                <w:rFonts w:ascii="楷体" w:eastAsia="楷体"/>
                <w:szCs w:val="21"/>
              </w:rPr>
            </w:pPr>
            <w:r>
              <w:rPr>
                <w:rFonts w:ascii="楷体" w:eastAsia="楷体" w:hint="eastAsia"/>
                <w:szCs w:val="21"/>
              </w:rPr>
              <w:t>积分</w:t>
            </w:r>
          </w:p>
        </w:tc>
        <w:tc>
          <w:tcPr>
            <w:tcW w:w="6237" w:type="dxa"/>
            <w:vAlign w:val="center"/>
          </w:tcPr>
          <w:p>
            <w:pPr>
              <w:jc w:val="center"/>
              <w:rPr>
                <w:rFonts w:ascii="楷体" w:eastAsia="楷体"/>
                <w:szCs w:val="21"/>
              </w:rPr>
            </w:pPr>
            <w:r>
              <w:rPr>
                <w:rFonts w:ascii="楷体" w:eastAsia="楷体" w:hint="eastAsia"/>
                <w:szCs w:val="21"/>
              </w:rPr>
              <w:t>功能模块与操作</w:t>
            </w:r>
          </w:p>
        </w:tc>
      </w:tr>
      <w:tr>
        <w:trPr>
          <w:trHeight w:val="170"/>
        </w:trPr>
        <w:tc>
          <w:tcPr>
            <w:tcW w:w="2410" w:type="dxa"/>
            <w:vMerge w:val="restart"/>
            <w:vAlign w:val="center"/>
          </w:tcPr>
          <w:p>
            <w:pPr>
              <w:jc w:val="left"/>
              <w:rPr>
                <w:rFonts w:ascii="楷体" w:eastAsia="楷体"/>
                <w:szCs w:val="21"/>
              </w:rPr>
            </w:pPr>
            <w:r>
              <w:rPr>
                <w:rFonts w:ascii="楷体" w:eastAsia="楷体" w:hint="eastAsia"/>
                <w:szCs w:val="21"/>
              </w:rPr>
              <w:t>设区市团委</w:t>
            </w:r>
          </w:p>
          <w:p>
            <w:pPr>
              <w:jc w:val="left"/>
              <w:rPr>
                <w:rFonts w:ascii="楷体" w:eastAsia="楷体"/>
                <w:szCs w:val="21"/>
              </w:rPr>
            </w:pPr>
            <w:r>
              <w:rPr>
                <w:rFonts w:ascii="楷体" w:eastAsia="楷体" w:hint="eastAsia"/>
                <w:szCs w:val="21"/>
              </w:rPr>
              <w:t>平潭综合实验区青工委</w:t>
            </w:r>
          </w:p>
          <w:p>
            <w:pPr>
              <w:jc w:val="left"/>
              <w:rPr>
                <w:rFonts w:ascii="楷体" w:eastAsia="楷体"/>
                <w:szCs w:val="21"/>
              </w:rPr>
            </w:pPr>
            <w:r>
              <w:rPr>
                <w:rFonts w:ascii="楷体" w:eastAsia="楷体" w:hint="eastAsia"/>
                <w:szCs w:val="21"/>
              </w:rPr>
              <w:t>省直团工委</w:t>
            </w:r>
          </w:p>
          <w:p>
            <w:pPr>
              <w:jc w:val="left"/>
              <w:rPr>
                <w:rFonts w:ascii="楷体" w:eastAsia="楷体"/>
                <w:szCs w:val="21"/>
              </w:rPr>
            </w:pPr>
            <w:r>
              <w:rPr>
                <w:rFonts w:ascii="楷体" w:eastAsia="楷体" w:hint="eastAsia"/>
                <w:szCs w:val="21"/>
              </w:rPr>
              <w:t>大学团委</w:t>
            </w:r>
          </w:p>
          <w:p>
            <w:pPr>
              <w:jc w:val="left"/>
              <w:rPr>
                <w:rFonts w:ascii="楷体" w:eastAsia="楷体"/>
                <w:szCs w:val="21"/>
              </w:rPr>
            </w:pPr>
            <w:r>
              <w:rPr>
                <w:rFonts w:ascii="楷体" w:eastAsia="楷体" w:hint="eastAsia"/>
                <w:szCs w:val="21"/>
              </w:rPr>
              <w:t>直属企业团委</w:t>
            </w:r>
          </w:p>
          <w:p>
            <w:pPr>
              <w:jc w:val="left"/>
              <w:rPr>
                <w:rFonts w:ascii="楷体" w:eastAsia="楷体"/>
                <w:szCs w:val="21"/>
              </w:rPr>
            </w:pPr>
            <w:r>
              <w:rPr>
                <w:rFonts w:ascii="楷体" w:eastAsia="楷体" w:hint="eastAsia"/>
                <w:szCs w:val="21"/>
              </w:rPr>
              <w:t>福建金融团工委</w:t>
            </w:r>
          </w:p>
        </w:tc>
        <w:tc>
          <w:tcPr>
            <w:tcW w:w="3827" w:type="dxa"/>
            <w:vAlign w:val="center"/>
          </w:tcPr>
          <w:p>
            <w:pPr>
              <w:jc w:val="left"/>
              <w:rPr>
                <w:rFonts w:ascii="楷体" w:eastAsia="楷体"/>
                <w:szCs w:val="21"/>
              </w:rPr>
            </w:pPr>
            <w:r>
              <w:rPr>
                <w:rFonts w:ascii="楷体" w:eastAsia="楷体" w:hint="eastAsia"/>
                <w:szCs w:val="21"/>
              </w:rPr>
              <w:t>1.工作部署</w:t>
            </w:r>
          </w:p>
        </w:tc>
        <w:tc>
          <w:tcPr>
            <w:tcW w:w="1276" w:type="dxa"/>
            <w:vAlign w:val="center"/>
          </w:tcPr>
          <w:p>
            <w:pPr>
              <w:jc w:val="left"/>
              <w:rPr>
                <w:rFonts w:ascii="楷体" w:eastAsia="楷体"/>
                <w:szCs w:val="21"/>
              </w:rPr>
            </w:pPr>
            <w:r>
              <w:rPr>
                <w:rFonts w:ascii="楷体" w:eastAsia="楷体" w:hint="eastAsia"/>
                <w:szCs w:val="21"/>
              </w:rPr>
              <w:t>5分</w:t>
            </w:r>
          </w:p>
        </w:tc>
        <w:tc>
          <w:tcPr>
            <w:tcW w:w="6237" w:type="dxa"/>
            <w:vAlign w:val="center"/>
          </w:tcPr>
          <w:p>
            <w:pPr>
              <w:jc w:val="left"/>
              <w:rPr>
                <w:rFonts w:ascii="楷体" w:eastAsia="楷体"/>
                <w:szCs w:val="21"/>
              </w:rPr>
            </w:pPr>
            <w:r>
              <w:rPr>
                <w:rFonts w:ascii="楷体" w:eastAsia="楷体" w:hint="eastAsia"/>
                <w:szCs w:val="21"/>
              </w:rPr>
              <w:t>通过“团的工作-工作部署”模块向下级团委部署工作，并督促下级团委通过“团的工作-落实反馈”模块及时提交工作反馈；</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2.市级统一行动</w:t>
            </w:r>
          </w:p>
        </w:tc>
        <w:tc>
          <w:tcPr>
            <w:tcW w:w="1276" w:type="dxa"/>
            <w:vAlign w:val="center"/>
          </w:tcPr>
          <w:p>
            <w:pPr>
              <w:jc w:val="left"/>
              <w:rPr>
                <w:rFonts w:ascii="楷体" w:eastAsia="楷体"/>
                <w:szCs w:val="21"/>
              </w:rPr>
            </w:pPr>
            <w:r>
              <w:rPr>
                <w:rFonts w:ascii="楷体" w:eastAsia="楷体" w:hint="eastAsia"/>
                <w:szCs w:val="21"/>
              </w:rPr>
              <w:t>10分</w:t>
            </w:r>
          </w:p>
        </w:tc>
        <w:tc>
          <w:tcPr>
            <w:tcW w:w="6237" w:type="dxa"/>
            <w:vAlign w:val="center"/>
          </w:tcPr>
          <w:p>
            <w:pPr>
              <w:jc w:val="left"/>
              <w:rPr>
                <w:rFonts w:ascii="楷体" w:eastAsia="楷体"/>
                <w:szCs w:val="21"/>
              </w:rPr>
            </w:pPr>
            <w:r>
              <w:rPr>
                <w:rFonts w:ascii="楷体" w:eastAsia="楷体" w:hint="eastAsia"/>
                <w:szCs w:val="21"/>
              </w:rPr>
              <w:t>通过“团的工作-共青团员义务星期六”模块发起本级活动，并发动团员报名参加本级活动，活动结束后在平台上总结活动；</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3.团支部发起活动</w:t>
            </w:r>
          </w:p>
        </w:tc>
        <w:tc>
          <w:tcPr>
            <w:tcW w:w="1276" w:type="dxa"/>
            <w:vAlign w:val="center"/>
          </w:tcPr>
          <w:p>
            <w:pPr>
              <w:jc w:val="left"/>
              <w:rPr>
                <w:rFonts w:ascii="楷体" w:eastAsia="楷体"/>
                <w:szCs w:val="21"/>
              </w:rPr>
            </w:pPr>
            <w:r>
              <w:rPr>
                <w:rFonts w:ascii="楷体" w:eastAsia="楷体" w:hint="eastAsia"/>
                <w:szCs w:val="21"/>
              </w:rPr>
              <w:t>0.1分/个</w:t>
            </w:r>
          </w:p>
        </w:tc>
        <w:tc>
          <w:tcPr>
            <w:tcW w:w="6237" w:type="dxa"/>
            <w:vAlign w:val="center"/>
          </w:tcPr>
          <w:p>
            <w:pPr>
              <w:jc w:val="left"/>
              <w:rPr>
                <w:rFonts w:ascii="楷体" w:eastAsia="楷体"/>
                <w:szCs w:val="21"/>
              </w:rPr>
            </w:pPr>
            <w:r>
              <w:rPr>
                <w:rFonts w:ascii="楷体" w:eastAsia="楷体" w:hint="eastAsia"/>
                <w:szCs w:val="21"/>
              </w:rPr>
              <w:t>团支书通过团务服务系统 “团的活动-共青团义务星期六”发起活动、总结活动（本级团委以下所有的团支部均纳入计分）；</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4.参与团支部覆盖面</w:t>
            </w:r>
          </w:p>
        </w:tc>
        <w:tc>
          <w:tcPr>
            <w:tcW w:w="1276" w:type="dxa"/>
            <w:vAlign w:val="center"/>
          </w:tcPr>
          <w:p>
            <w:pPr>
              <w:jc w:val="left"/>
              <w:rPr>
                <w:rFonts w:ascii="楷体" w:eastAsia="楷体"/>
                <w:szCs w:val="21"/>
              </w:rPr>
            </w:pPr>
            <w:r>
              <w:rPr>
                <w:rFonts w:ascii="楷体" w:eastAsia="楷体" w:hint="eastAsia"/>
                <w:szCs w:val="21"/>
              </w:rPr>
              <w:t>每提高0.5%得3分</w:t>
            </w:r>
          </w:p>
        </w:tc>
        <w:tc>
          <w:tcPr>
            <w:tcW w:w="6237" w:type="dxa"/>
            <w:vAlign w:val="center"/>
          </w:tcPr>
          <w:p>
            <w:pPr>
              <w:jc w:val="left"/>
              <w:rPr>
                <w:rFonts w:ascii="楷体" w:eastAsia="楷体"/>
                <w:szCs w:val="21"/>
              </w:rPr>
            </w:pPr>
            <w:r>
              <w:rPr>
                <w:rFonts w:ascii="楷体" w:eastAsia="楷体" w:hint="eastAsia"/>
                <w:szCs w:val="21"/>
              </w:rPr>
              <w:t>系统将根据团支部活动发起情况自动计分</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5.点评各级团组织活动</w:t>
            </w:r>
          </w:p>
        </w:tc>
        <w:tc>
          <w:tcPr>
            <w:tcW w:w="1276" w:type="dxa"/>
            <w:vAlign w:val="center"/>
          </w:tcPr>
          <w:p>
            <w:pPr>
              <w:jc w:val="left"/>
              <w:rPr>
                <w:rFonts w:ascii="楷体" w:eastAsia="楷体"/>
                <w:szCs w:val="21"/>
              </w:rPr>
            </w:pPr>
            <w:r>
              <w:rPr>
                <w:rFonts w:ascii="楷体" w:eastAsia="楷体" w:hint="eastAsia"/>
                <w:szCs w:val="21"/>
              </w:rPr>
              <w:t>0.1分/次</w:t>
            </w:r>
          </w:p>
        </w:tc>
        <w:tc>
          <w:tcPr>
            <w:tcW w:w="6237" w:type="dxa"/>
            <w:vAlign w:val="center"/>
          </w:tcPr>
          <w:p>
            <w:pPr>
              <w:jc w:val="left"/>
              <w:rPr>
                <w:rFonts w:ascii="楷体" w:eastAsia="楷体"/>
                <w:szCs w:val="21"/>
              </w:rPr>
            </w:pPr>
            <w:r>
              <w:rPr>
                <w:rFonts w:ascii="楷体" w:eastAsia="楷体" w:hint="eastAsia"/>
                <w:szCs w:val="21"/>
              </w:rPr>
              <w:t>通过“团的工作-共青团员义务星期六”模块查看并点评下级团组织相关活动开展情况，并进行有效评价（每个团干均可进行评价，分数进行累加）；</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6.向上级团组织推报优秀案例10个以上</w:t>
            </w:r>
          </w:p>
        </w:tc>
        <w:tc>
          <w:tcPr>
            <w:tcW w:w="1276" w:type="dxa"/>
            <w:vAlign w:val="center"/>
          </w:tcPr>
          <w:p>
            <w:pPr>
              <w:jc w:val="left"/>
              <w:rPr>
                <w:rFonts w:ascii="楷体" w:eastAsia="楷体"/>
                <w:szCs w:val="21"/>
              </w:rPr>
            </w:pPr>
            <w:r>
              <w:rPr>
                <w:rFonts w:ascii="楷体" w:eastAsia="楷体" w:hint="eastAsia"/>
                <w:szCs w:val="21"/>
              </w:rPr>
              <w:t>3分</w:t>
            </w:r>
          </w:p>
        </w:tc>
        <w:tc>
          <w:tcPr>
            <w:tcW w:w="6237" w:type="dxa"/>
            <w:vAlign w:val="center"/>
          </w:tcPr>
          <w:p>
            <w:pPr>
              <w:jc w:val="left"/>
              <w:rPr>
                <w:rFonts w:ascii="楷体" w:eastAsia="楷体"/>
                <w:szCs w:val="21"/>
              </w:rPr>
            </w:pPr>
            <w:r>
              <w:rPr>
                <w:rFonts w:ascii="楷体" w:eastAsia="楷体" w:hint="eastAsia"/>
                <w:szCs w:val="21"/>
              </w:rPr>
              <w:t>1、通过“团的工作-共青团员义务星期六”模块具体活动页面中的“设置为优秀案例”按钮将活动设置为本级优秀案例；</w:t>
            </w:r>
          </w:p>
          <w:p>
            <w:pPr>
              <w:jc w:val="left"/>
              <w:rPr>
                <w:rFonts w:ascii="楷体" w:eastAsia="楷体"/>
                <w:szCs w:val="21"/>
              </w:rPr>
            </w:pPr>
            <w:r>
              <w:rPr>
                <w:rFonts w:ascii="楷体" w:eastAsia="楷体" w:hint="eastAsia"/>
                <w:szCs w:val="21"/>
              </w:rPr>
              <w:t>2、通过“学习建设-查看优秀案例”模块，将活动“向上级推报”。</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7.入选省级"百佳"优秀案例</w:t>
            </w:r>
          </w:p>
        </w:tc>
        <w:tc>
          <w:tcPr>
            <w:tcW w:w="1276" w:type="dxa"/>
            <w:vAlign w:val="center"/>
          </w:tcPr>
          <w:p>
            <w:pPr>
              <w:jc w:val="left"/>
              <w:rPr>
                <w:rFonts w:ascii="楷体" w:eastAsia="楷体"/>
                <w:szCs w:val="21"/>
              </w:rPr>
            </w:pPr>
            <w:r>
              <w:rPr>
                <w:rFonts w:ascii="楷体" w:eastAsia="楷体" w:hint="eastAsia"/>
                <w:szCs w:val="21"/>
              </w:rPr>
              <w:t>10分/个</w:t>
            </w:r>
          </w:p>
        </w:tc>
        <w:tc>
          <w:tcPr>
            <w:tcW w:w="6237" w:type="dxa"/>
            <w:vAlign w:val="center"/>
          </w:tcPr>
          <w:p>
            <w:pPr>
              <w:jc w:val="left"/>
              <w:rPr>
                <w:rFonts w:ascii="楷体" w:eastAsia="楷体"/>
                <w:szCs w:val="21"/>
              </w:rPr>
            </w:pPr>
            <w:r>
              <w:rPr>
                <w:rFonts w:ascii="楷体" w:eastAsia="楷体" w:hint="eastAsia"/>
                <w:szCs w:val="21"/>
              </w:rPr>
              <w:t>由省级完成</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8.利用团属网站、微博、微信等新媒体平台宣传发动</w:t>
            </w:r>
          </w:p>
        </w:tc>
        <w:tc>
          <w:tcPr>
            <w:tcW w:w="1276" w:type="dxa"/>
            <w:vAlign w:val="center"/>
          </w:tcPr>
          <w:p>
            <w:pPr>
              <w:jc w:val="left"/>
              <w:rPr>
                <w:rFonts w:ascii="楷体" w:eastAsia="楷体"/>
                <w:szCs w:val="21"/>
              </w:rPr>
            </w:pPr>
            <w:r>
              <w:rPr>
                <w:rFonts w:ascii="楷体" w:eastAsia="楷体" w:hint="eastAsia"/>
                <w:szCs w:val="21"/>
              </w:rPr>
              <w:t>5分/次</w:t>
            </w:r>
          </w:p>
        </w:tc>
        <w:tc>
          <w:tcPr>
            <w:tcW w:w="6237" w:type="dxa"/>
            <w:vAlign w:val="center"/>
          </w:tcPr>
          <w:p>
            <w:pPr>
              <w:jc w:val="left"/>
              <w:rPr>
                <w:rFonts w:ascii="楷体" w:eastAsia="楷体"/>
                <w:szCs w:val="21"/>
              </w:rPr>
            </w:pPr>
            <w:r>
              <w:rPr>
                <w:rFonts w:ascii="楷体" w:eastAsia="楷体" w:hint="eastAsia"/>
                <w:szCs w:val="21"/>
              </w:rPr>
              <w:t>将相关截图通过“工作汇报-提交汇报”模块进行汇报，汇报类型选择“1205活动-团属新媒体宣传发动”，每种渠道汇报一次，总分不超过15分</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9.转发各级微信公众号及微博关于"共青团员义务星期六"主题微信和微博</w:t>
            </w:r>
          </w:p>
        </w:tc>
        <w:tc>
          <w:tcPr>
            <w:tcW w:w="1276" w:type="dxa"/>
            <w:vAlign w:val="center"/>
          </w:tcPr>
          <w:p>
            <w:pPr>
              <w:jc w:val="left"/>
              <w:rPr>
                <w:rFonts w:ascii="楷体" w:eastAsia="楷体"/>
                <w:szCs w:val="21"/>
              </w:rPr>
            </w:pPr>
            <w:r>
              <w:rPr>
                <w:rFonts w:ascii="楷体" w:eastAsia="楷体" w:hint="eastAsia"/>
                <w:szCs w:val="21"/>
              </w:rPr>
              <w:t>0.5分/次</w:t>
            </w:r>
          </w:p>
        </w:tc>
        <w:tc>
          <w:tcPr>
            <w:tcW w:w="6237" w:type="dxa"/>
            <w:vAlign w:val="center"/>
          </w:tcPr>
          <w:p>
            <w:pPr>
              <w:jc w:val="left"/>
              <w:rPr>
                <w:rFonts w:ascii="楷体" w:eastAsia="楷体"/>
                <w:szCs w:val="21"/>
              </w:rPr>
            </w:pPr>
            <w:r>
              <w:rPr>
                <w:rFonts w:ascii="楷体" w:eastAsia="楷体" w:hint="eastAsia"/>
                <w:szCs w:val="21"/>
              </w:rPr>
              <w:t>具体考核评分方法正在商议当中，相关工作可提前开展</w:t>
            </w:r>
          </w:p>
        </w:tc>
      </w:tr>
      <w:tr>
        <w:trPr>
          <w:trHeight w:val="170"/>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10.报刊、电视等媒体报道</w:t>
            </w:r>
          </w:p>
        </w:tc>
        <w:tc>
          <w:tcPr>
            <w:tcW w:w="1276" w:type="dxa"/>
            <w:vAlign w:val="center"/>
          </w:tcPr>
          <w:p>
            <w:pPr>
              <w:jc w:val="left"/>
              <w:rPr>
                <w:rFonts w:ascii="楷体" w:eastAsia="楷体"/>
                <w:szCs w:val="21"/>
              </w:rPr>
            </w:pPr>
            <w:r>
              <w:rPr>
                <w:rFonts w:ascii="楷体" w:eastAsia="楷体" w:hint="eastAsia"/>
                <w:szCs w:val="21"/>
              </w:rPr>
              <w:t>10分/次</w:t>
            </w:r>
          </w:p>
        </w:tc>
        <w:tc>
          <w:tcPr>
            <w:tcW w:w="6237" w:type="dxa"/>
            <w:vAlign w:val="center"/>
          </w:tcPr>
          <w:p>
            <w:pPr>
              <w:jc w:val="left"/>
              <w:rPr>
                <w:rFonts w:ascii="楷体" w:eastAsia="楷体"/>
                <w:szCs w:val="21"/>
              </w:rPr>
            </w:pPr>
            <w:r>
              <w:rPr>
                <w:rFonts w:ascii="楷体" w:eastAsia="楷体" w:hint="eastAsia"/>
                <w:szCs w:val="21"/>
              </w:rPr>
              <w:t>将相关截图通过“工作汇报-提交汇报”模块进行汇报，汇报类型选择“1205活动-社会媒体报道”，每次报道均需汇报一次，分数进行累加；</w:t>
            </w:r>
          </w:p>
        </w:tc>
      </w:tr>
      <w:tr>
        <w:trPr>
          <w:trHeight w:val="170"/>
        </w:trPr>
        <w:tc>
          <w:tcPr>
            <w:tcW w:w="13750" w:type="dxa"/>
            <w:gridSpan w:val="4"/>
            <w:vAlign w:val="center"/>
          </w:tcPr>
          <w:p>
            <w:pPr>
              <w:jc w:val="left"/>
              <w:rPr>
                <w:rFonts w:ascii="楷体" w:eastAsia="楷体"/>
                <w:szCs w:val="21"/>
              </w:rPr>
            </w:pPr>
          </w:p>
        </w:tc>
      </w:tr>
      <w:tr>
        <w:trPr>
          <w:trHeight w:val="312"/>
        </w:trPr>
        <w:tc>
          <w:tcPr>
            <w:tcW w:w="2410" w:type="dxa"/>
            <w:vMerge w:val="restart"/>
            <w:vAlign w:val="center"/>
          </w:tcPr>
          <w:p>
            <w:pPr>
              <w:jc w:val="left"/>
              <w:rPr>
                <w:rFonts w:ascii="楷体" w:eastAsia="楷体"/>
                <w:szCs w:val="21"/>
              </w:rPr>
            </w:pPr>
            <w:r>
              <w:rPr>
                <w:rFonts w:ascii="楷体" w:eastAsia="楷体" w:hint="eastAsia"/>
                <w:szCs w:val="21"/>
              </w:rPr>
              <w:t>县（市、区）团委</w:t>
            </w:r>
          </w:p>
          <w:p>
            <w:pPr>
              <w:jc w:val="left"/>
              <w:rPr>
                <w:rFonts w:ascii="楷体" w:eastAsia="楷体"/>
                <w:szCs w:val="21"/>
              </w:rPr>
            </w:pPr>
            <w:r>
              <w:rPr>
                <w:rFonts w:ascii="楷体" w:eastAsia="楷体" w:hint="eastAsia"/>
                <w:szCs w:val="21"/>
              </w:rPr>
              <w:t>省直单位团委</w:t>
            </w:r>
          </w:p>
          <w:p>
            <w:pPr>
              <w:jc w:val="left"/>
              <w:rPr>
                <w:rFonts w:ascii="楷体" w:eastAsia="楷体"/>
                <w:szCs w:val="21"/>
              </w:rPr>
            </w:pPr>
            <w:r>
              <w:rPr>
                <w:rFonts w:ascii="楷体" w:eastAsia="楷体" w:hint="eastAsia"/>
                <w:szCs w:val="21"/>
              </w:rPr>
              <w:t>学院团委</w:t>
            </w:r>
          </w:p>
          <w:p>
            <w:pPr>
              <w:jc w:val="left"/>
              <w:rPr>
                <w:rFonts w:ascii="楷体" w:eastAsia="楷体"/>
                <w:szCs w:val="21"/>
              </w:rPr>
            </w:pPr>
            <w:r>
              <w:rPr>
                <w:rFonts w:ascii="楷体" w:eastAsia="楷体" w:hint="eastAsia"/>
                <w:szCs w:val="21"/>
              </w:rPr>
              <w:t>企业分公司团委</w:t>
            </w:r>
          </w:p>
          <w:p>
            <w:pPr>
              <w:jc w:val="left"/>
              <w:rPr>
                <w:rFonts w:ascii="楷体" w:eastAsia="楷体"/>
                <w:szCs w:val="21"/>
              </w:rPr>
            </w:pPr>
            <w:r>
              <w:rPr>
                <w:rFonts w:ascii="楷体" w:eastAsia="楷体" w:hint="eastAsia"/>
                <w:szCs w:val="21"/>
              </w:rPr>
              <w:t>各银行团委</w:t>
            </w:r>
          </w:p>
        </w:tc>
        <w:tc>
          <w:tcPr>
            <w:tcW w:w="3827" w:type="dxa"/>
            <w:vAlign w:val="center"/>
          </w:tcPr>
          <w:p>
            <w:pPr>
              <w:jc w:val="left"/>
              <w:rPr>
                <w:rFonts w:ascii="楷体" w:eastAsia="楷体"/>
                <w:szCs w:val="21"/>
              </w:rPr>
            </w:pPr>
            <w:r>
              <w:rPr>
                <w:rFonts w:ascii="楷体" w:eastAsia="楷体" w:hint="eastAsia"/>
                <w:szCs w:val="21"/>
              </w:rPr>
              <w:t>1.结合实际制定方案</w:t>
            </w:r>
          </w:p>
        </w:tc>
        <w:tc>
          <w:tcPr>
            <w:tcW w:w="1276" w:type="dxa"/>
            <w:vAlign w:val="center"/>
          </w:tcPr>
          <w:p>
            <w:pPr>
              <w:jc w:val="left"/>
              <w:rPr>
                <w:rFonts w:ascii="楷体" w:eastAsia="楷体"/>
                <w:szCs w:val="21"/>
              </w:rPr>
            </w:pPr>
            <w:r>
              <w:rPr>
                <w:rFonts w:ascii="楷体" w:eastAsia="楷体" w:hint="eastAsia"/>
                <w:szCs w:val="21"/>
              </w:rPr>
              <w:t>5分</w:t>
            </w:r>
          </w:p>
        </w:tc>
        <w:tc>
          <w:tcPr>
            <w:tcW w:w="6237" w:type="dxa"/>
            <w:vAlign w:val="center"/>
          </w:tcPr>
          <w:p>
            <w:pPr>
              <w:jc w:val="left"/>
              <w:rPr>
                <w:rFonts w:ascii="楷体" w:eastAsia="楷体"/>
                <w:szCs w:val="21"/>
              </w:rPr>
            </w:pPr>
            <w:r>
              <w:rPr>
                <w:rFonts w:ascii="楷体" w:eastAsia="楷体" w:hint="eastAsia"/>
                <w:szCs w:val="21"/>
              </w:rPr>
              <w:t>1、通过“团的工作-落实反馈”将方案向上级团委进行反馈</w:t>
            </w:r>
          </w:p>
          <w:p>
            <w:pPr>
              <w:jc w:val="left"/>
              <w:rPr>
                <w:rFonts w:ascii="楷体" w:eastAsia="楷体"/>
                <w:szCs w:val="21"/>
              </w:rPr>
            </w:pPr>
            <w:r>
              <w:rPr>
                <w:rFonts w:ascii="楷体" w:eastAsia="楷体" w:hint="eastAsia"/>
                <w:szCs w:val="21"/>
              </w:rPr>
              <w:t>2、通过“团的工作-工作部署”模块向下级团委部署工作，并督促下级团委通过“团的工作-落实反馈”模块及时提交工作反馈；</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2.本级团委开展活动</w:t>
            </w:r>
          </w:p>
        </w:tc>
        <w:tc>
          <w:tcPr>
            <w:tcW w:w="1276" w:type="dxa"/>
            <w:vAlign w:val="center"/>
          </w:tcPr>
          <w:p>
            <w:pPr>
              <w:jc w:val="left"/>
              <w:rPr>
                <w:rFonts w:ascii="楷体" w:eastAsia="楷体"/>
                <w:szCs w:val="21"/>
              </w:rPr>
            </w:pPr>
            <w:r>
              <w:rPr>
                <w:rFonts w:ascii="楷体" w:eastAsia="楷体" w:hint="eastAsia"/>
                <w:szCs w:val="21"/>
              </w:rPr>
              <w:t>10分</w:t>
            </w:r>
          </w:p>
        </w:tc>
        <w:tc>
          <w:tcPr>
            <w:tcW w:w="6237" w:type="dxa"/>
            <w:vAlign w:val="center"/>
          </w:tcPr>
          <w:p>
            <w:pPr>
              <w:jc w:val="left"/>
              <w:rPr>
                <w:rFonts w:ascii="楷体" w:eastAsia="楷体"/>
                <w:szCs w:val="21"/>
              </w:rPr>
            </w:pPr>
            <w:r>
              <w:rPr>
                <w:rFonts w:ascii="楷体" w:eastAsia="楷体" w:hint="eastAsia"/>
                <w:szCs w:val="21"/>
              </w:rPr>
              <w:t>通过“团的工作-共青团员义务星期六”模块发起本级活动，并发动团员报名参加本级活动，活动结束后在平台上总结活动；</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3.团支部发起活动</w:t>
            </w:r>
          </w:p>
        </w:tc>
        <w:tc>
          <w:tcPr>
            <w:tcW w:w="1276" w:type="dxa"/>
            <w:vAlign w:val="center"/>
          </w:tcPr>
          <w:p>
            <w:pPr>
              <w:jc w:val="left"/>
              <w:rPr>
                <w:rFonts w:ascii="楷体" w:eastAsia="楷体"/>
                <w:szCs w:val="21"/>
              </w:rPr>
            </w:pPr>
            <w:r>
              <w:rPr>
                <w:rFonts w:ascii="楷体" w:eastAsia="楷体" w:hint="eastAsia"/>
                <w:szCs w:val="21"/>
              </w:rPr>
              <w:t>1分/个</w:t>
            </w:r>
          </w:p>
        </w:tc>
        <w:tc>
          <w:tcPr>
            <w:tcW w:w="6237" w:type="dxa"/>
            <w:vAlign w:val="center"/>
          </w:tcPr>
          <w:p>
            <w:pPr>
              <w:jc w:val="left"/>
              <w:rPr>
                <w:rFonts w:ascii="楷体" w:eastAsia="楷体"/>
                <w:szCs w:val="21"/>
              </w:rPr>
            </w:pPr>
            <w:r>
              <w:rPr>
                <w:rFonts w:ascii="楷体" w:eastAsia="楷体" w:hint="eastAsia"/>
                <w:szCs w:val="21"/>
              </w:rPr>
              <w:t>团支书通过团务服务系统 “团的活动-共青团义务星期六”发起活动、总结活动（本级团委以下所有的团支部均纳入计分）；</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4.参与团支部覆盖面</w:t>
            </w:r>
          </w:p>
        </w:tc>
        <w:tc>
          <w:tcPr>
            <w:tcW w:w="1276" w:type="dxa"/>
            <w:vAlign w:val="center"/>
          </w:tcPr>
          <w:p>
            <w:pPr>
              <w:jc w:val="left"/>
              <w:rPr>
                <w:rFonts w:ascii="楷体" w:eastAsia="楷体"/>
                <w:szCs w:val="21"/>
              </w:rPr>
            </w:pPr>
            <w:r>
              <w:rPr>
                <w:rFonts w:ascii="楷体" w:eastAsia="楷体" w:hint="eastAsia"/>
                <w:szCs w:val="21"/>
              </w:rPr>
              <w:t>每提高1%得3分</w:t>
            </w:r>
          </w:p>
        </w:tc>
        <w:tc>
          <w:tcPr>
            <w:tcW w:w="6237" w:type="dxa"/>
            <w:vAlign w:val="center"/>
          </w:tcPr>
          <w:p>
            <w:pPr>
              <w:jc w:val="left"/>
              <w:rPr>
                <w:rFonts w:ascii="楷体" w:eastAsia="楷体"/>
                <w:szCs w:val="21"/>
              </w:rPr>
            </w:pPr>
            <w:r>
              <w:rPr>
                <w:rFonts w:ascii="楷体" w:eastAsia="楷体" w:hint="eastAsia"/>
                <w:szCs w:val="21"/>
              </w:rPr>
              <w:t>系统将根据团支部活动发起情况自动计分。</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5.点评下级团组织活动</w:t>
            </w:r>
          </w:p>
        </w:tc>
        <w:tc>
          <w:tcPr>
            <w:tcW w:w="1276" w:type="dxa"/>
            <w:vAlign w:val="center"/>
          </w:tcPr>
          <w:p>
            <w:pPr>
              <w:jc w:val="left"/>
              <w:rPr>
                <w:rFonts w:ascii="楷体" w:eastAsia="楷体"/>
                <w:szCs w:val="21"/>
              </w:rPr>
            </w:pPr>
            <w:r>
              <w:rPr>
                <w:rFonts w:ascii="楷体" w:eastAsia="楷体" w:hint="eastAsia"/>
                <w:szCs w:val="21"/>
              </w:rPr>
              <w:t>0.5分/次</w:t>
            </w:r>
          </w:p>
        </w:tc>
        <w:tc>
          <w:tcPr>
            <w:tcW w:w="6237" w:type="dxa"/>
            <w:vAlign w:val="center"/>
          </w:tcPr>
          <w:p>
            <w:pPr>
              <w:jc w:val="left"/>
              <w:rPr>
                <w:rFonts w:ascii="楷体" w:eastAsia="楷体"/>
                <w:szCs w:val="21"/>
              </w:rPr>
            </w:pPr>
            <w:r>
              <w:rPr>
                <w:rFonts w:ascii="楷体" w:eastAsia="楷体" w:hint="eastAsia"/>
                <w:szCs w:val="21"/>
              </w:rPr>
              <w:t>通过“团的工作-共青团员义务星期六”模块查看并点评下级团组织相关活动开展情况，并进行有效评价（每个团干均可进行评价，分数进行累加）；</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6.向上级团组织推报优秀案例5个以上</w:t>
            </w:r>
          </w:p>
        </w:tc>
        <w:tc>
          <w:tcPr>
            <w:tcW w:w="1276" w:type="dxa"/>
            <w:vAlign w:val="center"/>
          </w:tcPr>
          <w:p>
            <w:pPr>
              <w:jc w:val="left"/>
              <w:rPr>
                <w:rFonts w:ascii="楷体" w:eastAsia="楷体"/>
                <w:szCs w:val="21"/>
              </w:rPr>
            </w:pPr>
            <w:r>
              <w:rPr>
                <w:rFonts w:ascii="楷体" w:eastAsia="楷体" w:hint="eastAsia"/>
                <w:szCs w:val="21"/>
              </w:rPr>
              <w:t>3分</w:t>
            </w:r>
          </w:p>
        </w:tc>
        <w:tc>
          <w:tcPr>
            <w:tcW w:w="6237" w:type="dxa"/>
            <w:vAlign w:val="center"/>
          </w:tcPr>
          <w:p>
            <w:pPr>
              <w:jc w:val="left"/>
              <w:rPr>
                <w:rFonts w:ascii="楷体" w:eastAsia="楷体"/>
                <w:szCs w:val="21"/>
              </w:rPr>
            </w:pPr>
            <w:r>
              <w:rPr>
                <w:rFonts w:ascii="楷体" w:eastAsia="楷体" w:hint="eastAsia"/>
                <w:szCs w:val="21"/>
              </w:rPr>
              <w:t>1、通过“团的工作-共青团员义务星期六”模块具体活动页面中的“设置为优秀案例”按钮将活动设置为本级优秀案例；</w:t>
            </w:r>
          </w:p>
          <w:p>
            <w:pPr>
              <w:jc w:val="left"/>
              <w:rPr>
                <w:rFonts w:ascii="楷体" w:eastAsia="楷体"/>
                <w:szCs w:val="21"/>
              </w:rPr>
            </w:pPr>
            <w:r>
              <w:rPr>
                <w:rFonts w:ascii="楷体" w:eastAsia="楷体" w:hint="eastAsia"/>
                <w:szCs w:val="21"/>
              </w:rPr>
              <w:t>2、通过“学习建设-查看优秀案例”模块，将活动“向上级推报”。</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7.作为市级优秀案例向上级团组织推报</w:t>
            </w:r>
          </w:p>
        </w:tc>
        <w:tc>
          <w:tcPr>
            <w:tcW w:w="1276" w:type="dxa"/>
            <w:vAlign w:val="center"/>
          </w:tcPr>
          <w:p>
            <w:pPr>
              <w:jc w:val="left"/>
              <w:rPr>
                <w:rFonts w:ascii="楷体" w:eastAsia="楷体"/>
                <w:szCs w:val="21"/>
              </w:rPr>
            </w:pPr>
            <w:r>
              <w:rPr>
                <w:rFonts w:ascii="楷体" w:eastAsia="楷体" w:hint="eastAsia"/>
                <w:szCs w:val="21"/>
              </w:rPr>
              <w:t>10分/个</w:t>
            </w:r>
          </w:p>
        </w:tc>
        <w:tc>
          <w:tcPr>
            <w:tcW w:w="6237" w:type="dxa"/>
            <w:vAlign w:val="center"/>
          </w:tcPr>
          <w:p>
            <w:pPr>
              <w:jc w:val="left"/>
              <w:rPr>
                <w:rFonts w:ascii="楷体" w:eastAsia="楷体"/>
                <w:szCs w:val="21"/>
              </w:rPr>
            </w:pPr>
            <w:r>
              <w:rPr>
                <w:rFonts w:ascii="楷体" w:eastAsia="楷体" w:hint="eastAsia"/>
                <w:szCs w:val="21"/>
              </w:rPr>
              <w:t>由市级操作</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8.利用团属网站、微博、微信等新媒体平台宣传发动</w:t>
            </w:r>
          </w:p>
        </w:tc>
        <w:tc>
          <w:tcPr>
            <w:tcW w:w="1276" w:type="dxa"/>
            <w:vAlign w:val="center"/>
          </w:tcPr>
          <w:p>
            <w:pPr>
              <w:jc w:val="left"/>
              <w:rPr>
                <w:rFonts w:ascii="楷体" w:eastAsia="楷体"/>
                <w:szCs w:val="21"/>
              </w:rPr>
            </w:pPr>
            <w:r>
              <w:rPr>
                <w:rFonts w:ascii="楷体" w:eastAsia="楷体" w:hint="eastAsia"/>
                <w:szCs w:val="21"/>
              </w:rPr>
              <w:t>5分/次</w:t>
            </w:r>
          </w:p>
        </w:tc>
        <w:tc>
          <w:tcPr>
            <w:tcW w:w="6237" w:type="dxa"/>
            <w:vAlign w:val="center"/>
          </w:tcPr>
          <w:p>
            <w:pPr>
              <w:jc w:val="left"/>
              <w:rPr>
                <w:rFonts w:ascii="楷体" w:eastAsia="楷体"/>
                <w:szCs w:val="21"/>
              </w:rPr>
            </w:pPr>
            <w:r>
              <w:rPr>
                <w:rFonts w:ascii="楷体" w:eastAsia="楷体" w:hint="eastAsia"/>
                <w:szCs w:val="21"/>
              </w:rPr>
              <w:t>将相关截图通过“工作汇报-提交汇报”模块进行汇报，汇报类型选择“1205活动-团属新媒体宣传发动”，每种渠道汇报一次，总分不超过15分</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9.转发各级微信公众号及微博关于"共青团员义务星期六"主题微信和微博</w:t>
            </w:r>
          </w:p>
        </w:tc>
        <w:tc>
          <w:tcPr>
            <w:tcW w:w="1276" w:type="dxa"/>
            <w:vAlign w:val="center"/>
          </w:tcPr>
          <w:p>
            <w:pPr>
              <w:jc w:val="left"/>
              <w:rPr>
                <w:rFonts w:ascii="楷体" w:eastAsia="楷体"/>
                <w:szCs w:val="21"/>
              </w:rPr>
            </w:pPr>
            <w:r>
              <w:rPr>
                <w:rFonts w:ascii="楷体" w:eastAsia="楷体" w:hint="eastAsia"/>
                <w:szCs w:val="21"/>
              </w:rPr>
              <w:t>0.5分/次</w:t>
            </w:r>
          </w:p>
        </w:tc>
        <w:tc>
          <w:tcPr>
            <w:tcW w:w="6237" w:type="dxa"/>
            <w:vAlign w:val="center"/>
          </w:tcPr>
          <w:p>
            <w:pPr>
              <w:jc w:val="left"/>
              <w:rPr>
                <w:rFonts w:ascii="楷体" w:eastAsia="楷体"/>
                <w:szCs w:val="21"/>
              </w:rPr>
            </w:pPr>
            <w:r>
              <w:rPr>
                <w:rFonts w:ascii="楷体" w:eastAsia="楷体" w:hint="eastAsia"/>
                <w:szCs w:val="21"/>
              </w:rPr>
              <w:t>具体考核评分方法正在商议当中，相关工作可提前开展</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10.报刊、电视等媒体报道</w:t>
            </w:r>
          </w:p>
        </w:tc>
        <w:tc>
          <w:tcPr>
            <w:tcW w:w="1276" w:type="dxa"/>
            <w:vAlign w:val="center"/>
          </w:tcPr>
          <w:p>
            <w:pPr>
              <w:jc w:val="left"/>
              <w:rPr>
                <w:rFonts w:ascii="楷体" w:eastAsia="楷体"/>
                <w:szCs w:val="21"/>
              </w:rPr>
            </w:pPr>
            <w:r>
              <w:rPr>
                <w:rFonts w:ascii="楷体" w:eastAsia="楷体" w:hint="eastAsia"/>
                <w:szCs w:val="21"/>
              </w:rPr>
              <w:t>5分/次</w:t>
            </w:r>
          </w:p>
        </w:tc>
        <w:tc>
          <w:tcPr>
            <w:tcW w:w="6237" w:type="dxa"/>
            <w:vAlign w:val="center"/>
          </w:tcPr>
          <w:p>
            <w:pPr>
              <w:jc w:val="left"/>
              <w:rPr>
                <w:rFonts w:ascii="楷体" w:eastAsia="楷体"/>
                <w:szCs w:val="21"/>
              </w:rPr>
            </w:pPr>
            <w:r>
              <w:rPr>
                <w:rFonts w:ascii="楷体" w:eastAsia="楷体" w:hint="eastAsia"/>
                <w:szCs w:val="21"/>
              </w:rPr>
              <w:t>将相关截图通过“工作汇报-提交汇报”模块进行汇报，汇报类型选择“1205活动-社会媒体报道”，每次报道均需汇报一次，分数进行累加；</w:t>
            </w:r>
          </w:p>
        </w:tc>
      </w:tr>
      <w:tr>
        <w:trPr>
          <w:trHeight w:val="170"/>
        </w:trPr>
        <w:tc>
          <w:tcPr>
            <w:tcW w:w="13750" w:type="dxa"/>
            <w:gridSpan w:val="4"/>
            <w:vAlign w:val="center"/>
          </w:tcPr>
          <w:p>
            <w:pPr>
              <w:jc w:val="left"/>
              <w:rPr>
                <w:rFonts w:ascii="楷体" w:eastAsia="楷体"/>
                <w:szCs w:val="21"/>
              </w:rPr>
            </w:pPr>
          </w:p>
        </w:tc>
      </w:tr>
      <w:tr>
        <w:trPr>
          <w:trHeight w:val="312"/>
        </w:trPr>
        <w:tc>
          <w:tcPr>
            <w:tcW w:w="2410" w:type="dxa"/>
            <w:vMerge w:val="restart"/>
            <w:vAlign w:val="center"/>
          </w:tcPr>
          <w:p>
            <w:pPr>
              <w:jc w:val="left"/>
              <w:rPr>
                <w:rFonts w:ascii="楷体" w:eastAsia="楷体"/>
                <w:szCs w:val="21"/>
              </w:rPr>
            </w:pPr>
            <w:r>
              <w:rPr>
                <w:rFonts w:ascii="楷体" w:eastAsia="楷体" w:hint="eastAsia"/>
                <w:szCs w:val="21"/>
              </w:rPr>
              <w:t>乡镇团委</w:t>
            </w:r>
          </w:p>
        </w:tc>
        <w:tc>
          <w:tcPr>
            <w:tcW w:w="3827" w:type="dxa"/>
            <w:vAlign w:val="center"/>
          </w:tcPr>
          <w:p>
            <w:pPr>
              <w:jc w:val="left"/>
              <w:rPr>
                <w:rFonts w:ascii="楷体" w:eastAsia="楷体"/>
                <w:szCs w:val="21"/>
              </w:rPr>
            </w:pPr>
            <w:r>
              <w:rPr>
                <w:rFonts w:ascii="楷体" w:eastAsia="楷体" w:hint="eastAsia"/>
                <w:szCs w:val="21"/>
              </w:rPr>
              <w:t>1.工作部署</w:t>
            </w:r>
          </w:p>
        </w:tc>
        <w:tc>
          <w:tcPr>
            <w:tcW w:w="1276" w:type="dxa"/>
            <w:vAlign w:val="center"/>
          </w:tcPr>
          <w:p>
            <w:pPr>
              <w:jc w:val="left"/>
              <w:rPr>
                <w:rFonts w:ascii="楷体" w:eastAsia="楷体"/>
                <w:szCs w:val="21"/>
              </w:rPr>
            </w:pPr>
            <w:r>
              <w:rPr>
                <w:rFonts w:ascii="楷体" w:eastAsia="楷体" w:hint="eastAsia"/>
                <w:szCs w:val="21"/>
              </w:rPr>
              <w:t>5分</w:t>
            </w:r>
          </w:p>
        </w:tc>
        <w:tc>
          <w:tcPr>
            <w:tcW w:w="6237" w:type="dxa"/>
            <w:vAlign w:val="center"/>
          </w:tcPr>
          <w:p>
            <w:pPr>
              <w:jc w:val="left"/>
              <w:rPr>
                <w:rFonts w:ascii="楷体" w:eastAsia="楷体"/>
                <w:szCs w:val="21"/>
              </w:rPr>
            </w:pPr>
            <w:r>
              <w:rPr>
                <w:rFonts w:ascii="楷体" w:eastAsia="楷体" w:hint="eastAsia"/>
                <w:szCs w:val="21"/>
              </w:rPr>
              <w:t>可以通过“工作部署”向下级团组织发起工作部署。</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2.本级团委开展活动</w:t>
            </w:r>
          </w:p>
        </w:tc>
        <w:tc>
          <w:tcPr>
            <w:tcW w:w="1276" w:type="dxa"/>
            <w:vAlign w:val="center"/>
          </w:tcPr>
          <w:p>
            <w:pPr>
              <w:jc w:val="left"/>
              <w:rPr>
                <w:rFonts w:ascii="楷体" w:eastAsia="楷体"/>
                <w:szCs w:val="21"/>
              </w:rPr>
            </w:pPr>
            <w:r>
              <w:rPr>
                <w:rFonts w:ascii="楷体" w:eastAsia="楷体" w:hint="eastAsia"/>
                <w:szCs w:val="21"/>
              </w:rPr>
              <w:t>10分</w:t>
            </w:r>
          </w:p>
        </w:tc>
        <w:tc>
          <w:tcPr>
            <w:tcW w:w="6237" w:type="dxa"/>
            <w:vAlign w:val="center"/>
          </w:tcPr>
          <w:p>
            <w:pPr>
              <w:jc w:val="left"/>
              <w:rPr>
                <w:rFonts w:ascii="楷体" w:eastAsia="楷体"/>
                <w:szCs w:val="21"/>
              </w:rPr>
            </w:pPr>
            <w:r>
              <w:rPr>
                <w:rFonts w:ascii="楷体" w:eastAsia="楷体" w:hint="eastAsia"/>
                <w:szCs w:val="21"/>
              </w:rPr>
              <w:t>本级团委通过共青团综合管理系统中的“共青团员义务星期六”发起活动、活动总结。</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3.团支部发起活动</w:t>
            </w:r>
          </w:p>
        </w:tc>
        <w:tc>
          <w:tcPr>
            <w:tcW w:w="1276" w:type="dxa"/>
            <w:vAlign w:val="center"/>
          </w:tcPr>
          <w:p>
            <w:pPr>
              <w:jc w:val="left"/>
              <w:rPr>
                <w:rFonts w:ascii="楷体" w:eastAsia="楷体"/>
                <w:szCs w:val="21"/>
              </w:rPr>
            </w:pPr>
            <w:r>
              <w:rPr>
                <w:rFonts w:ascii="楷体" w:eastAsia="楷体" w:hint="eastAsia"/>
                <w:szCs w:val="21"/>
              </w:rPr>
              <w:t>3分/个</w:t>
            </w:r>
          </w:p>
        </w:tc>
        <w:tc>
          <w:tcPr>
            <w:tcW w:w="6237" w:type="dxa"/>
            <w:vAlign w:val="center"/>
          </w:tcPr>
          <w:p>
            <w:pPr>
              <w:jc w:val="left"/>
              <w:rPr>
                <w:rFonts w:ascii="楷体" w:eastAsia="楷体"/>
                <w:szCs w:val="21"/>
              </w:rPr>
            </w:pPr>
            <w:r>
              <w:rPr>
                <w:rFonts w:ascii="楷体" w:eastAsia="楷体" w:hint="eastAsia"/>
                <w:szCs w:val="21"/>
              </w:rPr>
              <w:t>团支书通过团务服务系统 “团的活动-共青团义务星期六”发起活动、总结活动（本级团委以下所有的团支部均纳入计分）；</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4.参与团支部覆盖面</w:t>
            </w:r>
          </w:p>
        </w:tc>
        <w:tc>
          <w:tcPr>
            <w:tcW w:w="1276" w:type="dxa"/>
            <w:vAlign w:val="center"/>
          </w:tcPr>
          <w:p>
            <w:pPr>
              <w:jc w:val="left"/>
              <w:rPr>
                <w:rFonts w:ascii="楷体" w:eastAsia="楷体"/>
                <w:szCs w:val="21"/>
              </w:rPr>
            </w:pPr>
            <w:r>
              <w:rPr>
                <w:rFonts w:ascii="楷体" w:eastAsia="楷体" w:hint="eastAsia"/>
                <w:szCs w:val="21"/>
              </w:rPr>
              <w:t>每提高10%得3分</w:t>
            </w:r>
          </w:p>
        </w:tc>
        <w:tc>
          <w:tcPr>
            <w:tcW w:w="6237" w:type="dxa"/>
            <w:vAlign w:val="center"/>
          </w:tcPr>
          <w:p>
            <w:pPr>
              <w:jc w:val="left"/>
              <w:rPr>
                <w:rFonts w:ascii="楷体" w:eastAsia="楷体"/>
                <w:szCs w:val="21"/>
              </w:rPr>
            </w:pPr>
            <w:r>
              <w:rPr>
                <w:rFonts w:ascii="楷体" w:eastAsia="楷体" w:hint="eastAsia"/>
                <w:szCs w:val="21"/>
              </w:rPr>
              <w:t>系统将根据团支部活动发起情况自动计分。</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5.向上级团组织推报优秀案例1-3个</w:t>
            </w:r>
          </w:p>
        </w:tc>
        <w:tc>
          <w:tcPr>
            <w:tcW w:w="1276" w:type="dxa"/>
            <w:vAlign w:val="center"/>
          </w:tcPr>
          <w:p>
            <w:pPr>
              <w:jc w:val="left"/>
              <w:rPr>
                <w:rFonts w:ascii="楷体" w:eastAsia="楷体"/>
                <w:szCs w:val="21"/>
              </w:rPr>
            </w:pPr>
            <w:r>
              <w:rPr>
                <w:rFonts w:ascii="楷体" w:eastAsia="楷体" w:hint="eastAsia"/>
                <w:szCs w:val="21"/>
              </w:rPr>
              <w:t>3分</w:t>
            </w:r>
          </w:p>
        </w:tc>
        <w:tc>
          <w:tcPr>
            <w:tcW w:w="6237" w:type="dxa"/>
            <w:vAlign w:val="center"/>
          </w:tcPr>
          <w:p>
            <w:pPr>
              <w:jc w:val="left"/>
              <w:rPr>
                <w:rFonts w:ascii="楷体" w:eastAsia="楷体"/>
                <w:szCs w:val="21"/>
              </w:rPr>
            </w:pPr>
            <w:r>
              <w:rPr>
                <w:rFonts w:ascii="楷体" w:eastAsia="楷体" w:hint="eastAsia"/>
                <w:szCs w:val="21"/>
              </w:rPr>
              <w:t>1、通过“团的工作-共青团员义务星期六”模块具体活动页面中的“设置为优秀案例”按钮将活动设置为本级优秀案例；</w:t>
            </w:r>
          </w:p>
          <w:p>
            <w:pPr>
              <w:jc w:val="left"/>
              <w:rPr>
                <w:rFonts w:ascii="楷体" w:eastAsia="楷体"/>
                <w:szCs w:val="21"/>
              </w:rPr>
            </w:pPr>
            <w:r>
              <w:rPr>
                <w:rFonts w:ascii="楷体" w:eastAsia="楷体" w:hint="eastAsia"/>
                <w:szCs w:val="21"/>
              </w:rPr>
              <w:t>2、通过“学习建设-查看优秀案例”模块，将活动“向上级推报”。</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6.作为县级优秀案例向上级团组织推报</w:t>
            </w:r>
          </w:p>
        </w:tc>
        <w:tc>
          <w:tcPr>
            <w:tcW w:w="1276" w:type="dxa"/>
            <w:vAlign w:val="center"/>
          </w:tcPr>
          <w:p>
            <w:pPr>
              <w:jc w:val="left"/>
              <w:rPr>
                <w:rFonts w:ascii="楷体" w:eastAsia="楷体"/>
                <w:szCs w:val="21"/>
              </w:rPr>
            </w:pPr>
            <w:r>
              <w:rPr>
                <w:rFonts w:ascii="楷体" w:eastAsia="楷体" w:hint="eastAsia"/>
                <w:szCs w:val="21"/>
              </w:rPr>
              <w:t>5分/个</w:t>
            </w:r>
          </w:p>
        </w:tc>
        <w:tc>
          <w:tcPr>
            <w:tcW w:w="6237" w:type="dxa"/>
            <w:vAlign w:val="center"/>
          </w:tcPr>
          <w:p>
            <w:pPr>
              <w:jc w:val="left"/>
              <w:rPr>
                <w:rFonts w:ascii="楷体" w:eastAsia="楷体"/>
                <w:szCs w:val="21"/>
              </w:rPr>
            </w:pPr>
            <w:r>
              <w:rPr>
                <w:rFonts w:ascii="楷体" w:eastAsia="楷体" w:hint="eastAsia"/>
                <w:szCs w:val="21"/>
              </w:rPr>
              <w:t>由团县委操作</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7.点评团支部活动</w:t>
            </w:r>
          </w:p>
        </w:tc>
        <w:tc>
          <w:tcPr>
            <w:tcW w:w="1276" w:type="dxa"/>
            <w:vAlign w:val="center"/>
          </w:tcPr>
          <w:p>
            <w:pPr>
              <w:jc w:val="left"/>
              <w:rPr>
                <w:rFonts w:ascii="楷体" w:eastAsia="楷体"/>
                <w:szCs w:val="21"/>
              </w:rPr>
            </w:pPr>
            <w:r>
              <w:rPr>
                <w:rFonts w:ascii="楷体" w:eastAsia="楷体" w:hint="eastAsia"/>
                <w:szCs w:val="21"/>
              </w:rPr>
              <w:t>1分/次</w:t>
            </w:r>
          </w:p>
        </w:tc>
        <w:tc>
          <w:tcPr>
            <w:tcW w:w="6237" w:type="dxa"/>
            <w:vAlign w:val="center"/>
          </w:tcPr>
          <w:p>
            <w:pPr>
              <w:jc w:val="left"/>
              <w:rPr>
                <w:rFonts w:ascii="楷体" w:eastAsia="楷体"/>
                <w:szCs w:val="21"/>
              </w:rPr>
            </w:pPr>
            <w:r>
              <w:rPr>
                <w:rFonts w:ascii="楷体" w:eastAsia="楷体" w:hint="eastAsia"/>
                <w:szCs w:val="21"/>
              </w:rPr>
              <w:t>通过“团的工作-共青团员义务星期六”模块查看并点评下级团组织相关活动开展情况，并进行有效评价（每个团干均可进行评价，分数进行累加）；</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8.利用QQ、微信等新媒体平台宣传</w:t>
            </w:r>
          </w:p>
        </w:tc>
        <w:tc>
          <w:tcPr>
            <w:tcW w:w="1276" w:type="dxa"/>
            <w:vAlign w:val="center"/>
          </w:tcPr>
          <w:p>
            <w:pPr>
              <w:jc w:val="left"/>
              <w:rPr>
                <w:rFonts w:ascii="楷体" w:eastAsia="楷体"/>
                <w:szCs w:val="21"/>
              </w:rPr>
            </w:pPr>
            <w:r>
              <w:rPr>
                <w:rFonts w:ascii="楷体" w:eastAsia="楷体" w:hint="eastAsia"/>
                <w:szCs w:val="21"/>
              </w:rPr>
              <w:t>5分/次</w:t>
            </w:r>
          </w:p>
        </w:tc>
        <w:tc>
          <w:tcPr>
            <w:tcW w:w="6237" w:type="dxa"/>
            <w:vAlign w:val="center"/>
          </w:tcPr>
          <w:p>
            <w:pPr>
              <w:jc w:val="left"/>
              <w:rPr>
                <w:rFonts w:ascii="楷体" w:eastAsia="楷体"/>
                <w:szCs w:val="21"/>
              </w:rPr>
            </w:pPr>
            <w:r>
              <w:rPr>
                <w:rFonts w:ascii="楷体" w:eastAsia="楷体" w:hint="eastAsia"/>
                <w:szCs w:val="21"/>
              </w:rPr>
              <w:t>将相关截图通过“工作汇报-提交汇报”模块进行汇报，汇报类型选择“1205活动-团属新媒体宣传发动”，每种渠道汇报一次，总分不超过15分，其中QQ群要求10个以上，微信群要求10个以上；</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9.转发各级微信公众号及微博关于"共青团员义务星期六"主题微信和微博</w:t>
            </w:r>
          </w:p>
        </w:tc>
        <w:tc>
          <w:tcPr>
            <w:tcW w:w="1276" w:type="dxa"/>
            <w:vAlign w:val="center"/>
          </w:tcPr>
          <w:p>
            <w:pPr>
              <w:jc w:val="left"/>
              <w:rPr>
                <w:rFonts w:ascii="楷体" w:eastAsia="楷体"/>
                <w:szCs w:val="21"/>
              </w:rPr>
            </w:pPr>
            <w:r>
              <w:rPr>
                <w:rFonts w:ascii="楷体" w:eastAsia="楷体" w:hint="eastAsia"/>
                <w:szCs w:val="21"/>
              </w:rPr>
              <w:t>0.5分/次</w:t>
            </w:r>
          </w:p>
        </w:tc>
        <w:tc>
          <w:tcPr>
            <w:tcW w:w="6237" w:type="dxa"/>
            <w:vAlign w:val="center"/>
          </w:tcPr>
          <w:p>
            <w:pPr>
              <w:jc w:val="left"/>
              <w:rPr>
                <w:rFonts w:ascii="楷体" w:eastAsia="楷体"/>
                <w:szCs w:val="21"/>
              </w:rPr>
            </w:pPr>
            <w:r>
              <w:rPr>
                <w:rFonts w:ascii="楷体" w:eastAsia="楷体" w:hint="eastAsia"/>
                <w:szCs w:val="21"/>
              </w:rPr>
              <w:t>具体考核评分方法正在商议当中，相关工作可提前开展</w:t>
            </w:r>
          </w:p>
        </w:tc>
      </w:tr>
      <w:tr>
        <w:trPr>
          <w:trHeight w:val="312"/>
        </w:trPr>
        <w:tc>
          <w:tcPr>
            <w:tcW w:w="2410" w:type="dxa"/>
            <w:vMerge/>
            <w:vAlign w:val="center"/>
          </w:tcPr>
          <w:p/>
        </w:tc>
        <w:tc>
          <w:tcPr>
            <w:tcW w:w="3827" w:type="dxa"/>
            <w:vAlign w:val="center"/>
          </w:tcPr>
          <w:p>
            <w:pPr>
              <w:jc w:val="left"/>
              <w:rPr>
                <w:rFonts w:ascii="楷体" w:eastAsia="楷体"/>
                <w:szCs w:val="21"/>
              </w:rPr>
            </w:pPr>
            <w:r>
              <w:rPr>
                <w:rFonts w:ascii="楷体" w:eastAsia="楷体" w:hint="eastAsia"/>
                <w:szCs w:val="21"/>
              </w:rPr>
              <w:t>10.报刊、电视等媒体报道</w:t>
            </w:r>
          </w:p>
        </w:tc>
        <w:tc>
          <w:tcPr>
            <w:tcW w:w="1276" w:type="dxa"/>
            <w:vAlign w:val="center"/>
          </w:tcPr>
          <w:p>
            <w:pPr>
              <w:jc w:val="left"/>
              <w:rPr>
                <w:rFonts w:ascii="楷体" w:eastAsia="楷体"/>
                <w:szCs w:val="21"/>
              </w:rPr>
            </w:pPr>
            <w:r>
              <w:rPr>
                <w:rFonts w:ascii="楷体" w:eastAsia="楷体" w:hint="eastAsia"/>
                <w:szCs w:val="21"/>
              </w:rPr>
              <w:t>5分/次</w:t>
            </w:r>
          </w:p>
        </w:tc>
        <w:tc>
          <w:tcPr>
            <w:tcW w:w="6237" w:type="dxa"/>
            <w:vAlign w:val="center"/>
          </w:tcPr>
          <w:p>
            <w:pPr>
              <w:jc w:val="left"/>
              <w:rPr>
                <w:rFonts w:ascii="楷体" w:eastAsia="楷体"/>
                <w:szCs w:val="21"/>
              </w:rPr>
            </w:pPr>
            <w:r>
              <w:rPr>
                <w:rFonts w:ascii="楷体" w:eastAsia="楷体" w:hint="eastAsia"/>
                <w:szCs w:val="21"/>
              </w:rPr>
              <w:t>将相关截图通过“工作汇报-提交汇报”模块进行汇报，汇报类型选择“1205活动-社会媒体报道”，每次报道均需汇报一次，分数进行累加；</w:t>
            </w:r>
          </w:p>
        </w:tc>
      </w:tr>
    </w:tbl>
    <w:p>
      <w:pPr>
        <w:jc w:val="left"/>
        <w:rPr>
          <w:rFonts w:ascii="Helvetica Neue" w:hAnsi="Helvetica Neue" w:hint="eastAsia"/>
          <w:color w:val="000000"/>
          <w:sz w:val="28"/>
          <w:szCs w:val="28"/>
        </w:rPr>
      </w:pPr>
    </w:p>
    <w:p>
      <w:pPr>
        <w:widowControl/>
        <w:jc w:val="left"/>
        <w:rPr>
          <w:rFonts w:ascii="Helvetica Neue" w:hAnsi="Helvetica Neue" w:hint="eastAsia"/>
          <w:color w:val="000000"/>
          <w:sz w:val="28"/>
          <w:szCs w:val="28"/>
        </w:rPr>
        <w:sectPr>
          <w:pgSz w:w="16838" w:h="11906" w:orient="landscape"/>
          <w:pgMar w:top="1797" w:right="1440" w:bottom="1797" w:left="1440" w:header="851" w:footer="992" w:gutter="0"/>
          <w:docGrid w:type="linesAndChars" w:linePitch="312" w:charSpace="0"/>
        </w:sectPr>
      </w:pPr>
    </w:p>
    <w:p>
      <w:pPr>
        <w:pStyle w:val="1"/>
      </w:pPr>
      <w:bookmarkStart w:id="1" w:name="_Toc436412114"/>
      <w:r>
        <w:rPr>
          <w:rFonts w:hint="eastAsia"/>
        </w:rPr>
        <w:t>二、操作指南</w:t>
      </w:r>
      <w:bookmarkEnd w:id="1"/>
    </w:p>
    <w:p>
      <w:pPr>
        <w:pStyle w:val="2"/>
      </w:pPr>
      <w:bookmarkStart w:id="2" w:name="_Toc436412115"/>
      <w:r>
        <w:rPr>
          <w:rFonts w:hint="eastAsia"/>
        </w:rPr>
        <w:t>（一）工作部署</w:t>
      </w:r>
      <w:bookmarkEnd w:id="2"/>
    </w:p>
    <w:p>
      <w:pPr>
        <w:spacing w:line="580" w:lineRule="exact"/>
        <w:ind w:firstLineChars="200" w:firstLine="560"/>
        <w:jc w:val="left"/>
        <w:rPr>
          <w:rFonts w:ascii="宋体"/>
          <w:sz w:val="28"/>
          <w:szCs w:val="28"/>
          <w:shd w:val="clear" w:color="auto" w:fill="FFFFFF"/>
        </w:rPr>
      </w:pPr>
      <w:r>
        <w:rPr>
          <w:rFonts w:ascii="宋体"/>
          <w:sz w:val="28"/>
          <w:szCs w:val="28"/>
          <w:shd w:val="clear" w:color="auto" w:fill="FFFFFF"/>
        </w:rPr>
        <w:t>登录团务管理系统，进入“</w:t>
      </w:r>
      <w:r>
        <w:rPr>
          <w:rStyle w:val="16"/>
          <w:rFonts w:ascii="宋体"/>
          <w:b w:val="0"/>
          <w:sz w:val="28"/>
          <w:szCs w:val="28"/>
          <w:shd w:val="clear" w:color="auto" w:fill="FFFFFF"/>
        </w:rPr>
        <w:t>团的工作</w:t>
      </w:r>
      <w:r>
        <w:rPr>
          <w:rFonts w:ascii="宋体"/>
          <w:sz w:val="28"/>
          <w:szCs w:val="28"/>
          <w:shd w:val="clear" w:color="auto" w:fill="FFFFFF"/>
        </w:rPr>
        <w:t>”→“</w:t>
      </w:r>
      <w:r>
        <w:rPr>
          <w:rStyle w:val="16"/>
          <w:rFonts w:ascii="宋体"/>
          <w:b w:val="0"/>
          <w:sz w:val="28"/>
          <w:szCs w:val="28"/>
          <w:shd w:val="clear" w:color="auto" w:fill="FFFFFF"/>
        </w:rPr>
        <w:t>工作部署</w:t>
      </w:r>
      <w:r>
        <w:rPr>
          <w:rFonts w:ascii="宋体"/>
          <w:sz w:val="28"/>
          <w:szCs w:val="28"/>
          <w:shd w:val="clear" w:color="auto" w:fill="FFFFFF"/>
        </w:rPr>
        <w:t>”进行工作部署。</w:t>
      </w:r>
    </w:p>
    <w:p>
      <w:pPr>
        <w:rPr>
          <w:rFonts w:ascii="宋体"/>
          <w:sz w:val="28"/>
          <w:szCs w:val="28"/>
        </w:rPr>
      </w:pPr>
      <w:r>
        <w:rPr>
          <w:rFonts w:ascii="宋体"/>
          <w:sz w:val="28"/>
          <w:szCs w:val="28"/>
        </w:rPr>
        <w:drawing>
          <wp:inline distT="0" distB="0" distL="0" distR="0">
            <wp:extent cx="1674495" cy="1757680"/>
            <wp:effectExtent l="0" t="0" r="0" b="0"/>
            <wp:docPr id="1" name="图片 1" descr="3353607411448584174578.png"/>
            <wp:cNvGraphicFramePr>
              <a:graphicFrameLocks noChangeAspect="1"/>
            </wp:cNvGraphicFramePr>
            <a:graphic>
              <a:graphicData uri="http://schemas.openxmlformats.org/drawingml/2006/picture">
                <pic:pic>
                  <pic:nvPicPr>
                    <pic:cNvPr id="3" name="图片 3"/>
                    <pic:cNvPicPr/>
                  </pic:nvPicPr>
                  <pic:blipFill>
                    <a:blip r:embed="rId2">
                      <a:lum bright="0" contrast="0"/>
                    </a:blip>
                    <a:srcRect t="0" b="0" l="0" r="0"/>
                    <a:stretch>
                      <a:fillRect/>
                    </a:stretch>
                  </pic:blipFill>
                  <pic:spPr>
                    <a:xfrm rot="0">
                      <a:off x="0" y="0"/>
                      <a:ext cx="1674495" cy="1757680"/>
                    </a:xfrm>
                    <a:prstGeom prst="rect"/>
                    <a:noFill/>
                    <a:ln w="9525" cmpd="sng">
                      <a:noFill/>
                      <a:prstDash val="solid"/>
                      <a:miter/>
                    </a:ln>
                  </pic:spPr>
                </pic:pic>
              </a:graphicData>
            </a:graphic>
          </wp:inline>
        </w:drawing>
      </w:r>
    </w:p>
    <w:p>
      <w:pPr>
        <w:rPr>
          <w:rFonts w:ascii="宋体"/>
          <w:sz w:val="28"/>
          <w:szCs w:val="28"/>
        </w:rPr>
      </w:pPr>
      <w:r>
        <w:rPr>
          <w:rFonts w:ascii="宋体"/>
          <w:sz w:val="28"/>
          <w:szCs w:val="28"/>
        </w:rPr>
        <w:drawing>
          <wp:inline distT="0" distB="0" distL="0" distR="0">
            <wp:extent cx="5272404" cy="1062989"/>
            <wp:effectExtent l="0" t="0" r="0" b="0"/>
            <wp:docPr id="4" name="图片 4" descr="5322414901448584174781.png"/>
            <wp:cNvGraphicFramePr>
              <a:graphicFrameLocks noChangeAspect="1"/>
            </wp:cNvGraphicFramePr>
            <a:graphic>
              <a:graphicData uri="http://schemas.openxmlformats.org/drawingml/2006/picture">
                <pic:pic>
                  <pic:nvPicPr>
                    <pic:cNvPr id="6" name="图片 6"/>
                    <pic:cNvPicPr/>
                  </pic:nvPicPr>
                  <pic:blipFill>
                    <a:blip r:embed="rId3">
                      <a:lum bright="0" contrast="0"/>
                    </a:blip>
                    <a:srcRect t="0" b="0" l="0" r="0"/>
                    <a:stretch>
                      <a:fillRect/>
                    </a:stretch>
                  </pic:blipFill>
                  <pic:spPr>
                    <a:xfrm rot="0">
                      <a:off x="0" y="0"/>
                      <a:ext cx="5272404" cy="1062989"/>
                    </a:xfrm>
                    <a:prstGeom prst="rect"/>
                    <a:noFill/>
                    <a:ln w="9525" cmpd="sng">
                      <a:noFill/>
                      <a:prstDash val="solid"/>
                      <a:miter/>
                    </a:ln>
                  </pic:spPr>
                </pic:pic>
              </a:graphicData>
            </a:graphic>
          </wp:inline>
        </w:drawing>
      </w:r>
    </w:p>
    <w:p>
      <w:pPr>
        <w:ind w:firstLineChars="200" w:firstLine="560"/>
        <w:rPr>
          <w:rFonts w:ascii="宋体"/>
          <w:color w:val="3E3E3E"/>
          <w:sz w:val="28"/>
          <w:szCs w:val="28"/>
          <w:shd w:val="clear" w:color="auto" w:fill="FFFFFF"/>
        </w:rPr>
      </w:pPr>
      <w:r>
        <w:rPr>
          <w:rFonts w:ascii="宋体"/>
          <w:color w:val="3E3E3E"/>
          <w:sz w:val="28"/>
          <w:szCs w:val="28"/>
          <w:shd w:val="clear" w:color="auto" w:fill="FFFFFF"/>
        </w:rPr>
        <w:t>点击“</w:t>
      </w:r>
      <w:r>
        <w:rPr>
          <w:rStyle w:val="16"/>
          <w:rFonts w:ascii="宋体"/>
          <w:color w:val="3E3E3E"/>
          <w:sz w:val="28"/>
          <w:szCs w:val="28"/>
          <w:shd w:val="clear" w:color="auto" w:fill="FFFFFF"/>
        </w:rPr>
        <w:t>部署新工作</w:t>
      </w:r>
      <w:r>
        <w:rPr>
          <w:rFonts w:ascii="宋体"/>
          <w:color w:val="3E3E3E"/>
          <w:sz w:val="28"/>
          <w:szCs w:val="28"/>
          <w:shd w:val="clear" w:color="auto" w:fill="FFFFFF"/>
        </w:rPr>
        <w:t>”进行内容编辑发布；</w:t>
      </w:r>
    </w:p>
    <w:p>
      <w:pPr>
        <w:rPr>
          <w:rFonts w:ascii="宋体"/>
          <w:sz w:val="28"/>
          <w:szCs w:val="28"/>
        </w:rPr>
      </w:pPr>
      <w:r>
        <w:rPr>
          <w:rFonts w:ascii="宋体"/>
          <w:sz w:val="28"/>
          <w:szCs w:val="28"/>
        </w:rPr>
        <w:drawing>
          <wp:inline distT="0" distB="0" distL="85723" distR="85723">
            <wp:extent cx="5278119" cy="2526194"/>
            <wp:effectExtent l="0" t="0" r="0" b="0"/>
            <wp:docPr id="7" name="图片 7"/>
            <wp:cNvGraphicFramePr>
              <a:graphicFrameLocks noChangeAspect="1"/>
            </wp:cNvGraphicFramePr>
            <a:graphic>
              <a:graphicData uri="http://schemas.openxmlformats.org/drawingml/2006/picture">
                <pic:pic>
                  <pic:nvPicPr>
                    <pic:cNvPr id="9" name="图片 9"/>
                    <pic:cNvPicPr/>
                  </pic:nvPicPr>
                  <pic:blipFill>
                    <a:blip r:embed="rId4">
                      <a:lum bright="0" contrast="0"/>
                    </a:blip>
                    <a:srcRect t="0" b="0" l="0" r="0"/>
                    <a:stretch>
                      <a:fillRect/>
                    </a:stretch>
                  </pic:blipFill>
                  <pic:spPr>
                    <a:xfrm rot="0">
                      <a:off x="0" y="0"/>
                      <a:ext cx="5278119" cy="2526194"/>
                    </a:xfrm>
                    <a:prstGeom prst="rect"/>
                    <a:noFill/>
                    <a:ln w="9525" cmpd="sng">
                      <a:noFill/>
                      <a:prstDash val="solid"/>
                      <a:miter/>
                    </a:ln>
                  </pic:spPr>
                </pic:pic>
              </a:graphicData>
            </a:graphic>
          </wp:inline>
        </w:drawing>
      </w:r>
    </w:p>
    <w:p>
      <w:pPr>
        <w:ind w:firstLineChars="200" w:firstLine="560"/>
        <w:rPr>
          <w:rFonts w:ascii="宋体"/>
          <w:sz w:val="28"/>
          <w:szCs w:val="28"/>
        </w:rPr>
      </w:pPr>
      <w:r>
        <w:rPr>
          <w:rFonts w:ascii="宋体"/>
          <w:sz w:val="28"/>
          <w:szCs w:val="28"/>
        </w:rPr>
        <w:t>点击</w:t>
      </w:r>
      <w:r>
        <w:rPr>
          <w:rFonts w:ascii="宋体" w:hint="eastAsia"/>
          <w:sz w:val="28"/>
          <w:szCs w:val="28"/>
        </w:rPr>
        <w:t>“</w:t>
      </w:r>
      <w:r>
        <w:rPr>
          <w:rStyle w:val="16"/>
          <w:rFonts w:ascii="宋体"/>
          <w:sz w:val="28"/>
          <w:szCs w:val="28"/>
          <w:bdr w:val="none" w:sz="0" w:space="0" w:color="auto"/>
        </w:rPr>
        <w:t>接收组织：选择</w:t>
      </w:r>
      <w:r>
        <w:rPr>
          <w:rFonts w:ascii="宋体" w:hint="eastAsia"/>
          <w:sz w:val="28"/>
          <w:szCs w:val="28"/>
        </w:rPr>
        <w:t>”</w:t>
      </w:r>
      <w:r>
        <w:rPr>
          <w:rFonts w:ascii="宋体"/>
          <w:sz w:val="28"/>
          <w:szCs w:val="28"/>
        </w:rPr>
        <w:t>进入接收组织选择界面。进入后选中需要部署的团组织。</w:t>
      </w:r>
    </w:p>
    <w:p>
      <w:pPr>
        <w:ind w:firstLineChars="200" w:firstLine="560"/>
        <w:rPr>
          <w:rFonts w:ascii="宋体"/>
          <w:sz w:val="28"/>
          <w:szCs w:val="28"/>
        </w:rPr>
      </w:pPr>
      <w:r>
        <w:rPr>
          <w:rFonts w:ascii="宋体"/>
          <w:sz w:val="28"/>
          <w:szCs w:val="28"/>
        </w:rPr>
        <w:t>（提示：1.选择</w:t>
      </w:r>
      <w:r>
        <w:rPr>
          <w:rFonts w:ascii="宋体" w:hint="eastAsia"/>
          <w:sz w:val="28"/>
          <w:szCs w:val="28"/>
        </w:rPr>
        <w:t>“</w:t>
      </w:r>
      <w:r>
        <w:rPr>
          <w:rFonts w:ascii="宋体"/>
          <w:sz w:val="28"/>
          <w:szCs w:val="28"/>
        </w:rPr>
        <w:t>部门</w:t>
      </w:r>
      <w:r>
        <w:rPr>
          <w:rFonts w:ascii="宋体" w:hint="eastAsia"/>
          <w:sz w:val="28"/>
          <w:szCs w:val="28"/>
        </w:rPr>
        <w:t>”</w:t>
      </w:r>
      <w:r>
        <w:rPr>
          <w:rFonts w:ascii="宋体"/>
          <w:sz w:val="28"/>
          <w:szCs w:val="28"/>
        </w:rPr>
        <w:t>向部门里的所有团干发送工作部署；2.选择</w:t>
      </w:r>
      <w:r>
        <w:rPr>
          <w:rFonts w:ascii="宋体" w:hint="eastAsia"/>
          <w:sz w:val="28"/>
          <w:szCs w:val="28"/>
        </w:rPr>
        <w:t>“</w:t>
      </w:r>
      <w:r>
        <w:rPr>
          <w:rFonts w:ascii="宋体"/>
          <w:sz w:val="28"/>
          <w:szCs w:val="28"/>
        </w:rPr>
        <w:t>团委</w:t>
      </w:r>
      <w:r>
        <w:rPr>
          <w:rFonts w:ascii="宋体" w:hint="eastAsia"/>
          <w:sz w:val="28"/>
          <w:szCs w:val="28"/>
        </w:rPr>
        <w:t>”</w:t>
      </w:r>
      <w:r>
        <w:rPr>
          <w:rFonts w:ascii="宋体"/>
          <w:sz w:val="28"/>
          <w:szCs w:val="28"/>
        </w:rPr>
        <w:t>向团委里的所有操作员发送工作部署；3.选择</w:t>
      </w:r>
      <w:r>
        <w:rPr>
          <w:rFonts w:ascii="宋体" w:hint="eastAsia"/>
          <w:sz w:val="28"/>
          <w:szCs w:val="28"/>
        </w:rPr>
        <w:t>“</w:t>
      </w:r>
      <w:r>
        <w:rPr>
          <w:rFonts w:ascii="宋体"/>
          <w:sz w:val="28"/>
          <w:szCs w:val="28"/>
        </w:rPr>
        <w:t>团支部</w:t>
      </w:r>
      <w:r>
        <w:rPr>
          <w:rFonts w:ascii="宋体" w:hint="eastAsia"/>
          <w:sz w:val="28"/>
          <w:szCs w:val="28"/>
        </w:rPr>
        <w:t>”</w:t>
      </w:r>
      <w:r>
        <w:rPr>
          <w:rFonts w:ascii="宋体"/>
          <w:sz w:val="28"/>
          <w:szCs w:val="28"/>
        </w:rPr>
        <w:t>向团支部里的团支书发送工作部署。）</w:t>
      </w:r>
    </w:p>
    <w:p>
      <w:pPr>
        <w:ind w:left="0"/>
        <w:rPr>
          <w:rFonts w:ascii="宋体"/>
          <w:sz w:val="28"/>
          <w:szCs w:val="28"/>
        </w:rPr>
      </w:pPr>
      <w:r>
        <w:rPr>
          <w:rFonts w:ascii="宋体"/>
          <w:sz w:val="28"/>
          <w:szCs w:val="28"/>
        </w:rPr>
        <w:drawing>
          <wp:inline distT="0" distB="0" distL="85723" distR="85723">
            <wp:extent cx="5278119" cy="1874914"/>
            <wp:effectExtent l="0" t="0" r="0" b="0"/>
            <wp:docPr id="10" name="图片 10"/>
            <wp:cNvGraphicFramePr>
              <a:graphicFrameLocks noChangeAspect="1"/>
            </wp:cNvGraphicFramePr>
            <a:graphic>
              <a:graphicData uri="http://schemas.openxmlformats.org/drawingml/2006/picture">
                <pic:pic>
                  <pic:nvPicPr>
                    <pic:cNvPr id="12" name="图片 12"/>
                    <pic:cNvPicPr/>
                  </pic:nvPicPr>
                  <pic:blipFill>
                    <a:blip r:embed="rId5">
                      <a:lum bright="0" contrast="0"/>
                    </a:blip>
                    <a:srcRect t="0" b="0" l="0" r="0"/>
                    <a:stretch>
                      <a:fillRect/>
                    </a:stretch>
                  </pic:blipFill>
                  <pic:spPr>
                    <a:xfrm rot="0">
                      <a:off x="0" y="0"/>
                      <a:ext cx="5278119" cy="1874914"/>
                    </a:xfrm>
                    <a:prstGeom prst="rect"/>
                    <a:noFill/>
                    <a:ln w="9525" cmpd="sng">
                      <a:noFill/>
                      <a:prstDash val="solid"/>
                      <a:miter/>
                    </a:ln>
                  </pic:spPr>
                </pic:pic>
              </a:graphicData>
            </a:graphic>
          </wp:inline>
        </w:drawing>
      </w:r>
    </w:p>
    <w:p>
      <w:pPr>
        <w:ind w:firstLineChars="200" w:firstLine="560"/>
        <w:rPr>
          <w:rFonts w:ascii="宋体"/>
          <w:sz w:val="28"/>
          <w:szCs w:val="28"/>
        </w:rPr>
      </w:pPr>
      <w:r>
        <w:rPr>
          <w:rFonts w:ascii="宋体"/>
          <w:sz w:val="28"/>
          <w:szCs w:val="28"/>
        </w:rPr>
        <w:t>点击“</w:t>
      </w:r>
      <w:r>
        <w:rPr>
          <w:rStyle w:val="16"/>
          <w:rFonts w:ascii="宋体"/>
          <w:sz w:val="28"/>
          <w:szCs w:val="28"/>
        </w:rPr>
        <w:t>责任人：添加</w:t>
      </w:r>
      <w:r>
        <w:rPr>
          <w:rFonts w:ascii="宋体"/>
          <w:sz w:val="28"/>
          <w:szCs w:val="28"/>
        </w:rPr>
        <w:t>”进入人员选择界面。进入后选中已创建的部门，在要发送对象的人员前点击“</w:t>
      </w:r>
      <w:r>
        <w:rPr>
          <w:rStyle w:val="16"/>
          <w:rFonts w:ascii="宋体"/>
          <w:sz w:val="28"/>
          <w:szCs w:val="28"/>
        </w:rPr>
        <w:t>打勾</w:t>
      </w:r>
      <w:r>
        <w:rPr>
          <w:rFonts w:ascii="宋体"/>
          <w:sz w:val="28"/>
          <w:szCs w:val="28"/>
        </w:rPr>
        <w:t>”。</w:t>
      </w:r>
    </w:p>
    <w:p>
      <w:pPr>
        <w:ind w:firstLineChars="200" w:firstLine="560"/>
        <w:rPr>
          <w:rFonts w:ascii="宋体"/>
          <w:sz w:val="28"/>
          <w:szCs w:val="28"/>
        </w:rPr>
      </w:pPr>
      <w:r>
        <w:rPr>
          <w:rFonts w:ascii="宋体"/>
          <w:sz w:val="28"/>
          <w:szCs w:val="28"/>
        </w:rPr>
        <w:t>（提示：选择多位工作责任人选择完一个部门的人员继续选择下一个人员直接去选择另外一个部门里的人员即可。等全部人员选择完成再点击“确定”。）</w:t>
      </w:r>
    </w:p>
    <w:p>
      <w:pPr>
        <w:rPr>
          <w:rFonts w:ascii="宋体"/>
          <w:sz w:val="28"/>
          <w:szCs w:val="28"/>
        </w:rPr>
      </w:pPr>
      <w:r>
        <w:rPr>
          <w:rFonts w:ascii="宋体"/>
          <w:sz w:val="28"/>
          <w:szCs w:val="28"/>
        </w:rPr>
        <w:drawing>
          <wp:inline distT="0" distB="0" distL="0" distR="0">
            <wp:extent cx="5272404" cy="3129280"/>
            <wp:effectExtent l="0" t="0" r="0" b="0"/>
            <wp:docPr id="13" name="图片 13" descr="3445436271448584174781.png"/>
            <wp:cNvGraphicFramePr>
              <a:graphicFrameLocks noChangeAspect="1"/>
            </wp:cNvGraphicFramePr>
            <a:graphic>
              <a:graphicData uri="http://schemas.openxmlformats.org/drawingml/2006/picture">
                <pic:pic>
                  <pic:nvPicPr>
                    <pic:cNvPr id="15" name="图片 15"/>
                    <pic:cNvPicPr/>
                  </pic:nvPicPr>
                  <pic:blipFill>
                    <a:blip r:embed="rId6">
                      <a:lum bright="0" contrast="0"/>
                    </a:blip>
                    <a:srcRect t="0" b="0" l="0" r="0"/>
                    <a:stretch>
                      <a:fillRect/>
                    </a:stretch>
                  </pic:blipFill>
                  <pic:spPr>
                    <a:xfrm rot="0">
                      <a:off x="0" y="0"/>
                      <a:ext cx="5272404" cy="3129280"/>
                    </a:xfrm>
                    <a:prstGeom prst="rect"/>
                    <a:noFill/>
                    <a:ln w="9525" cmpd="sng">
                      <a:noFill/>
                      <a:prstDash val="solid"/>
                      <a:miter/>
                    </a:ln>
                  </pic:spPr>
                </pic:pic>
              </a:graphicData>
            </a:graphic>
          </wp:inline>
        </w:drawing>
      </w:r>
    </w:p>
    <w:p>
      <w:pPr>
        <w:ind w:firstLineChars="200" w:firstLine="560"/>
        <w:rPr>
          <w:rFonts w:ascii="宋体"/>
          <w:color w:val="3E3E3E"/>
          <w:sz w:val="28"/>
          <w:szCs w:val="28"/>
          <w:shd w:val="clear" w:color="auto" w:fill="FFFFFF"/>
        </w:rPr>
      </w:pPr>
      <w:r>
        <w:rPr>
          <w:rFonts w:ascii="宋体"/>
          <w:color w:val="3E3E3E"/>
          <w:sz w:val="28"/>
          <w:szCs w:val="28"/>
          <w:shd w:val="clear" w:color="auto" w:fill="FFFFFF"/>
        </w:rPr>
        <w:t>点击“提交”下发工作部署；</w:t>
      </w:r>
    </w:p>
    <w:p>
      <w:pPr>
        <w:rPr>
          <w:rFonts w:ascii="宋体"/>
          <w:color w:val="3E3E3E"/>
          <w:sz w:val="28"/>
          <w:szCs w:val="28"/>
          <w:shd w:val="clear" w:color="auto" w:fill="FFFFFF"/>
        </w:rPr>
      </w:pPr>
      <w:r>
        <w:rPr>
          <w:rFonts w:ascii="宋体"/>
          <w:color w:val="3E3E3E"/>
          <w:sz w:val="28"/>
          <w:szCs w:val="28"/>
          <w:shd w:val="clear" w:color="auto" w:fill="FFFFFF"/>
        </w:rPr>
        <w:drawing>
          <wp:inline distT="0" distB="0" distL="0" distR="0">
            <wp:extent cx="5272404" cy="2778760"/>
            <wp:effectExtent l="0" t="0" r="0" b="0"/>
            <wp:docPr id="16" name="图片 16" descr="3744704581448584174796.png"/>
            <wp:cNvGraphicFramePr>
              <a:graphicFrameLocks noChangeAspect="1"/>
            </wp:cNvGraphicFramePr>
            <a:graphic>
              <a:graphicData uri="http://schemas.openxmlformats.org/drawingml/2006/picture">
                <pic:pic>
                  <pic:nvPicPr>
                    <pic:cNvPr id="18" name="图片 18"/>
                    <pic:cNvPicPr/>
                  </pic:nvPicPr>
                  <pic:blipFill>
                    <a:blip r:embed="rId7">
                      <a:lum bright="0" contrast="0"/>
                    </a:blip>
                    <a:srcRect t="0" b="0" l="0" r="0"/>
                    <a:stretch>
                      <a:fillRect/>
                    </a:stretch>
                  </pic:blipFill>
                  <pic:spPr>
                    <a:xfrm rot="0">
                      <a:off x="0" y="0"/>
                      <a:ext cx="5272404" cy="2778760"/>
                    </a:xfrm>
                    <a:prstGeom prst="rect"/>
                    <a:noFill/>
                    <a:ln w="9525" cmpd="sng">
                      <a:noFill/>
                      <a:prstDash val="solid"/>
                      <a:miter/>
                    </a:ln>
                  </pic:spPr>
                </pic:pic>
              </a:graphicData>
            </a:graphic>
          </wp:inline>
        </w:drawing>
      </w:r>
    </w:p>
    <w:p>
      <w:pPr>
        <w:pStyle w:val="2"/>
        <w:rPr>
          <w:shd w:val="clear" w:color="auto" w:fill="FFFFFF"/>
        </w:rPr>
      </w:pPr>
      <w:bookmarkStart w:id="3" w:name="_Toc436412116"/>
      <w:r>
        <w:rPr>
          <w:rFonts w:hint="eastAsia"/>
          <w:shd w:val="clear" w:color="auto" w:fill="FFFFFF"/>
        </w:rPr>
        <w:t>（二）落实反馈</w:t>
      </w:r>
      <w:bookmarkEnd w:id="3"/>
    </w:p>
    <w:p>
      <w:pPr>
        <w:ind w:firstLineChars="200" w:firstLine="560"/>
        <w:rPr>
          <w:rFonts w:ascii="Times New Roman" w:hAnsi="Times New Roman"/>
          <w:color w:val="3E3E3E"/>
          <w:sz w:val="28"/>
          <w:szCs w:val="28"/>
          <w:shd w:val="clear" w:color="auto" w:fill="FFFFFF"/>
        </w:rPr>
      </w:pPr>
      <w:r>
        <w:rPr>
          <w:rFonts w:ascii="Helvetica Neue" w:hAnsi="Helvetica Neue"/>
          <w:color w:val="3E3E3E"/>
          <w:sz w:val="28"/>
          <w:szCs w:val="28"/>
          <w:shd w:val="clear" w:color="auto" w:fill="FFFFFF"/>
        </w:rPr>
        <w:t>下级团委部门、操作员、团支书接到上级团委发起的工作部署后，登入团务管理系统进入“</w:t>
      </w:r>
      <w:r>
        <w:rPr>
          <w:rStyle w:val="16"/>
          <w:rFonts w:ascii="Helvetica Neue" w:hAnsi="Helvetica Neue" w:hint="eastAsia"/>
          <w:color w:val="3E3E3E"/>
          <w:sz w:val="28"/>
          <w:szCs w:val="28"/>
          <w:shd w:val="clear" w:color="auto" w:fill="FFFFFF"/>
        </w:rPr>
        <w:t>团</w:t>
      </w:r>
      <w:r>
        <w:rPr>
          <w:rStyle w:val="16"/>
          <w:rFonts w:ascii="Helvetica Neue" w:hAnsi="Helvetica Neue"/>
          <w:color w:val="3E3E3E"/>
          <w:sz w:val="28"/>
          <w:szCs w:val="28"/>
          <w:shd w:val="clear" w:color="auto" w:fill="FFFFFF"/>
        </w:rPr>
        <w:t>的工作</w:t>
      </w:r>
      <w:r>
        <w:rPr>
          <w:rFonts w:ascii="Helvetica Neue" w:hAnsi="Helvetica Neue"/>
          <w:color w:val="3E3E3E"/>
          <w:sz w:val="28"/>
          <w:szCs w:val="28"/>
          <w:shd w:val="clear" w:color="auto" w:fill="FFFFFF"/>
        </w:rPr>
        <w:t>”→“</w:t>
      </w:r>
      <w:r>
        <w:rPr>
          <w:rStyle w:val="16"/>
          <w:rFonts w:ascii="Helvetica Neue" w:hAnsi="Helvetica Neue"/>
          <w:color w:val="3E3E3E"/>
          <w:sz w:val="28"/>
          <w:szCs w:val="28"/>
          <w:shd w:val="clear" w:color="auto" w:fill="FFFFFF"/>
        </w:rPr>
        <w:t>落实反馈</w:t>
      </w:r>
      <w:r>
        <w:rPr>
          <w:rFonts w:ascii="Helvetica Neue" w:hAnsi="Helvetica Neue"/>
          <w:color w:val="3E3E3E"/>
          <w:sz w:val="28"/>
          <w:szCs w:val="28"/>
          <w:shd w:val="clear" w:color="auto" w:fill="FFFFFF"/>
        </w:rPr>
        <w:t>”针对</w:t>
      </w:r>
      <w:r>
        <w:rPr>
          <w:rFonts w:ascii="Helvetica Neue" w:hAnsi="Helvetica Neue" w:hint="eastAsia"/>
          <w:color w:val="3E3E3E"/>
          <w:sz w:val="28"/>
          <w:szCs w:val="28"/>
          <w:shd w:val="clear" w:color="auto" w:fill="FFFFFF"/>
        </w:rPr>
        <w:t>上级团务部署的工作</w:t>
      </w:r>
      <w:r>
        <w:rPr>
          <w:rFonts w:ascii="Helvetica Neue" w:hAnsi="Helvetica Neue"/>
          <w:color w:val="3E3E3E"/>
          <w:sz w:val="28"/>
          <w:szCs w:val="28"/>
          <w:shd w:val="clear" w:color="auto" w:fill="FFFFFF"/>
        </w:rPr>
        <w:t>反馈工作进展；</w:t>
      </w:r>
      <w:r>
        <w:rPr>
          <w:rFonts w:ascii="Times New Roman" w:hAnsi="Times New Roman"/>
          <w:color w:val="3E3E3E"/>
          <w:sz w:val="28"/>
          <w:szCs w:val="28"/>
          <w:shd w:val="clear" w:color="auto" w:fill="FFFFFF"/>
        </w:rPr>
        <w:t>（提示：只有上级团委发起工作部署时选择的责任人才能向上级反馈工作内容）</w:t>
      </w:r>
    </w:p>
    <w:p>
      <w:pPr>
        <w:rPr>
          <w:rFonts w:ascii="Times New Roman" w:hAnsi="Times New Roman"/>
          <w:color w:val="3E3E3E"/>
          <w:sz w:val="28"/>
          <w:szCs w:val="28"/>
          <w:shd w:val="clear" w:color="auto" w:fill="FFFFFF"/>
        </w:rPr>
      </w:pPr>
      <w:r>
        <w:rPr>
          <w:rFonts w:ascii="Times New Roman" w:hAnsi="Times New Roman"/>
          <w:color w:val="3E3E3E"/>
          <w:sz w:val="28"/>
          <w:szCs w:val="28"/>
          <w:shd w:val="clear" w:color="auto" w:fill="FFFFFF"/>
        </w:rPr>
        <w:drawing>
          <wp:inline distT="0" distB="0" distL="0" distR="0">
            <wp:extent cx="1733550" cy="1638935"/>
            <wp:effectExtent l="0" t="0" r="0" b="0"/>
            <wp:docPr id="19" name="图片 19" descr="7056281361448584174796.png"/>
            <wp:cNvGraphicFramePr>
              <a:graphicFrameLocks noChangeAspect="1"/>
            </wp:cNvGraphicFramePr>
            <a:graphic>
              <a:graphicData uri="http://schemas.openxmlformats.org/drawingml/2006/picture">
                <pic:pic>
                  <pic:nvPicPr>
                    <pic:cNvPr id="21" name="图片 21"/>
                    <pic:cNvPicPr/>
                  </pic:nvPicPr>
                  <pic:blipFill>
                    <a:blip r:embed="rId8">
                      <a:lum bright="0" contrast="0"/>
                    </a:blip>
                    <a:srcRect t="0" b="0" l="0" r="0"/>
                    <a:stretch>
                      <a:fillRect/>
                    </a:stretch>
                  </pic:blipFill>
                  <pic:spPr>
                    <a:xfrm rot="0">
                      <a:off x="0" y="0"/>
                      <a:ext cx="1733550" cy="1638935"/>
                    </a:xfrm>
                    <a:prstGeom prst="rect"/>
                    <a:noFill/>
                    <a:ln w="9525" cmpd="sng">
                      <a:noFill/>
                      <a:prstDash val="solid"/>
                      <a:miter/>
                    </a:ln>
                  </pic:spPr>
                </pic:pic>
              </a:graphicData>
            </a:graphic>
          </wp:inline>
        </w:drawing>
      </w:r>
    </w:p>
    <w:p>
      <w:pPr>
        <w:rPr>
          <w:sz w:val="28"/>
          <w:szCs w:val="28"/>
        </w:rPr>
      </w:pPr>
      <w:r>
        <w:rPr>
          <w:sz w:val="28"/>
          <w:szCs w:val="28"/>
        </w:rPr>
        <w:drawing>
          <wp:inline distT="0" distB="0" distL="0" distR="0">
            <wp:extent cx="5272404" cy="1074420"/>
            <wp:effectExtent l="0" t="0" r="0" b="0"/>
            <wp:docPr id="22" name="图片 22" descr="9109290501448584174796.png"/>
            <wp:cNvGraphicFramePr>
              <a:graphicFrameLocks noChangeAspect="1"/>
            </wp:cNvGraphicFramePr>
            <a:graphic>
              <a:graphicData uri="http://schemas.openxmlformats.org/drawingml/2006/picture">
                <pic:pic>
                  <pic:nvPicPr>
                    <pic:cNvPr id="24" name="图片 24"/>
                    <pic:cNvPicPr/>
                  </pic:nvPicPr>
                  <pic:blipFill>
                    <a:blip r:embed="rId9">
                      <a:lum bright="0" contrast="0"/>
                    </a:blip>
                    <a:srcRect t="0" b="0" l="0" r="0"/>
                    <a:stretch>
                      <a:fillRect/>
                    </a:stretch>
                  </pic:blipFill>
                  <pic:spPr>
                    <a:xfrm rot="0">
                      <a:off x="0" y="0"/>
                      <a:ext cx="5272404" cy="1074420"/>
                    </a:xfrm>
                    <a:prstGeom prst="rect"/>
                    <a:noFill/>
                    <a:ln w="9525" cmpd="sng">
                      <a:noFill/>
                      <a:prstDash val="solid"/>
                      <a:miter/>
                    </a:ln>
                  </pic:spPr>
                </pic:pic>
              </a:graphicData>
            </a:graphic>
          </wp:inline>
        </w:drawing>
      </w:r>
    </w:p>
    <w:p>
      <w:pPr>
        <w:ind w:firstLineChars="200" w:firstLine="560"/>
        <w:rPr>
          <w:rFonts w:ascii="Times New Roman" w:hAnsi="Times New Roman"/>
          <w:color w:val="3E3E3E"/>
          <w:sz w:val="28"/>
          <w:szCs w:val="28"/>
          <w:shd w:val="clear" w:color="auto" w:fill="FFFFFF"/>
        </w:rPr>
      </w:pPr>
      <w:r>
        <w:rPr>
          <w:rFonts w:ascii="Helvetica Neue" w:hAnsi="Helvetica Neue"/>
          <w:color w:val="3E3E3E"/>
          <w:sz w:val="28"/>
          <w:szCs w:val="28"/>
          <w:shd w:val="clear" w:color="auto" w:fill="FFFFFF"/>
        </w:rPr>
        <w:t>进入“提交反馈”界面进行内容编辑；</w:t>
      </w:r>
    </w:p>
    <w:p>
      <w:pPr>
        <w:rPr>
          <w:sz w:val="28"/>
          <w:szCs w:val="28"/>
        </w:rPr>
      </w:pPr>
      <w:r>
        <w:rPr>
          <w:sz w:val="28"/>
          <w:szCs w:val="28"/>
        </w:rPr>
        <w:drawing>
          <wp:inline distT="0" distB="0" distL="0" distR="0">
            <wp:extent cx="5272404" cy="2487930"/>
            <wp:effectExtent l="0" t="0" r="0" b="0"/>
            <wp:docPr id="25" name="图片 25" descr="4647985831448584174796.png"/>
            <wp:cNvGraphicFramePr>
              <a:graphicFrameLocks noChangeAspect="1"/>
            </wp:cNvGraphicFramePr>
            <a:graphic>
              <a:graphicData uri="http://schemas.openxmlformats.org/drawingml/2006/picture">
                <pic:pic>
                  <pic:nvPicPr>
                    <pic:cNvPr id="27" name="图片 27"/>
                    <pic:cNvPicPr/>
                  </pic:nvPicPr>
                  <pic:blipFill>
                    <a:blip r:embed="rId10">
                      <a:lum bright="0" contrast="0"/>
                    </a:blip>
                    <a:srcRect t="0" b="0" l="0" r="0"/>
                    <a:stretch>
                      <a:fillRect/>
                    </a:stretch>
                  </pic:blipFill>
                  <pic:spPr>
                    <a:xfrm rot="0">
                      <a:off x="0" y="0"/>
                      <a:ext cx="5272404" cy="2487930"/>
                    </a:xfrm>
                    <a:prstGeom prst="rect"/>
                    <a:noFill/>
                    <a:ln w="9525" cmpd="sng">
                      <a:noFill/>
                      <a:prstDash val="solid"/>
                      <a:miter/>
                    </a:ln>
                  </pic:spPr>
                </pic:pic>
              </a:graphicData>
            </a:graphic>
          </wp:inline>
        </w:drawing>
      </w:r>
    </w:p>
    <w:p>
      <w:pPr>
        <w:pStyle w:val="2"/>
      </w:pPr>
      <w:bookmarkStart w:id="4" w:name="_Toc436412117"/>
      <w:r>
        <w:rPr>
          <w:rFonts w:hint="eastAsia"/>
        </w:rPr>
        <w:t>（三）查看反馈</w:t>
      </w:r>
      <w:bookmarkEnd w:id="4"/>
    </w:p>
    <w:p>
      <w:pPr>
        <w:ind w:firstLineChars="200" w:firstLine="560"/>
        <w:rPr>
          <w:rFonts w:ascii="Times New Roman" w:hAnsi="Times New Roman"/>
          <w:color w:val="3E3E3E"/>
          <w:sz w:val="28"/>
          <w:szCs w:val="28"/>
          <w:shd w:val="clear" w:color="auto" w:fill="FFFFFF"/>
        </w:rPr>
      </w:pPr>
      <w:r>
        <w:rPr>
          <w:rFonts w:ascii="Helvetica Neue" w:hAnsi="Helvetica Neue" w:hint="eastAsia"/>
          <w:color w:val="3E3E3E"/>
          <w:sz w:val="28"/>
          <w:szCs w:val="28"/>
          <w:shd w:val="clear" w:color="auto" w:fill="FFFFFF"/>
        </w:rPr>
        <w:t>下级团组织相关</w:t>
      </w:r>
      <w:r>
        <w:rPr>
          <w:rFonts w:ascii="Helvetica Neue" w:hAnsi="Helvetica Neue"/>
          <w:color w:val="3E3E3E"/>
          <w:sz w:val="28"/>
          <w:szCs w:val="28"/>
          <w:shd w:val="clear" w:color="auto" w:fill="FFFFFF"/>
        </w:rPr>
        <w:t>责任人将工作开展情况反馈回来</w:t>
      </w:r>
      <w:r>
        <w:rPr>
          <w:rFonts w:ascii="Helvetica Neue" w:hAnsi="Helvetica Neue" w:hint="eastAsia"/>
          <w:color w:val="3E3E3E"/>
          <w:sz w:val="28"/>
          <w:szCs w:val="28"/>
          <w:shd w:val="clear" w:color="auto" w:fill="FFFFFF"/>
        </w:rPr>
        <w:t>后</w:t>
      </w:r>
      <w:r>
        <w:rPr>
          <w:rFonts w:ascii="Helvetica Neue" w:hAnsi="Helvetica Neue"/>
          <w:color w:val="3E3E3E"/>
          <w:sz w:val="28"/>
          <w:szCs w:val="28"/>
          <w:shd w:val="clear" w:color="auto" w:fill="FFFFFF"/>
        </w:rPr>
        <w:t>，发布工作部署的团委可以进入“</w:t>
      </w:r>
      <w:r>
        <w:rPr>
          <w:rStyle w:val="16"/>
          <w:rFonts w:ascii="Helvetica Neue" w:hAnsi="Helvetica Neue"/>
          <w:color w:val="3E3E3E"/>
          <w:sz w:val="28"/>
          <w:szCs w:val="28"/>
          <w:shd w:val="clear" w:color="auto" w:fill="FFFFFF"/>
        </w:rPr>
        <w:t>工作部署</w:t>
      </w:r>
      <w:r>
        <w:rPr>
          <w:rFonts w:ascii="Helvetica Neue" w:hAnsi="Helvetica Neue"/>
          <w:color w:val="3E3E3E"/>
          <w:sz w:val="28"/>
          <w:szCs w:val="28"/>
          <w:shd w:val="clear" w:color="auto" w:fill="FFFFFF"/>
        </w:rPr>
        <w:t>”查看。（提示：该项工作部署里的工作内容全部完成后可终止或者结束这项工作部署。）</w:t>
      </w:r>
    </w:p>
    <w:p>
      <w:pPr>
        <w:rPr>
          <w:rFonts w:ascii="Times New Roman" w:hAnsi="Times New Roman"/>
          <w:color w:val="3E3E3E"/>
          <w:sz w:val="28"/>
          <w:szCs w:val="28"/>
          <w:shd w:val="clear" w:color="auto" w:fill="FFFFFF"/>
        </w:rPr>
      </w:pPr>
      <w:r>
        <w:rPr>
          <w:rFonts w:ascii="Times New Roman" w:hAnsi="Times New Roman"/>
          <w:color w:val="3E3E3E"/>
          <w:sz w:val="28"/>
          <w:szCs w:val="28"/>
          <w:shd w:val="clear" w:color="auto" w:fill="FFFFFF"/>
        </w:rPr>
        <w:drawing>
          <wp:inline distT="0" distB="0" distL="0" distR="0">
            <wp:extent cx="5272404" cy="1045210"/>
            <wp:effectExtent l="0" t="0" r="0" b="0"/>
            <wp:docPr id="28" name="图片 28" descr="87721641448584174796.png"/>
            <wp:cNvGraphicFramePr>
              <a:graphicFrameLocks noChangeAspect="1"/>
            </wp:cNvGraphicFramePr>
            <a:graphic>
              <a:graphicData uri="http://schemas.openxmlformats.org/drawingml/2006/picture">
                <pic:pic>
                  <pic:nvPicPr>
                    <pic:cNvPr id="30" name="图片 30"/>
                    <pic:cNvPicPr/>
                  </pic:nvPicPr>
                  <pic:blipFill>
                    <a:blip r:embed="rId11">
                      <a:lum bright="0" contrast="0"/>
                    </a:blip>
                    <a:srcRect t="0" b="0" l="0" r="0"/>
                    <a:stretch>
                      <a:fillRect/>
                    </a:stretch>
                  </pic:blipFill>
                  <pic:spPr>
                    <a:xfrm rot="0">
                      <a:off x="0" y="0"/>
                      <a:ext cx="5272404" cy="1045210"/>
                    </a:xfrm>
                    <a:prstGeom prst="rect"/>
                    <a:noFill/>
                    <a:ln w="9525" cmpd="sng">
                      <a:noFill/>
                      <a:prstDash val="solid"/>
                      <a:miter/>
                    </a:ln>
                  </pic:spPr>
                </pic:pic>
              </a:graphicData>
            </a:graphic>
          </wp:inline>
        </w:drawing>
      </w:r>
    </w:p>
    <w:p>
      <w:pPr>
        <w:ind w:firstLineChars="200" w:firstLine="560"/>
        <w:rPr>
          <w:rFonts w:ascii="Times New Roman" w:hAnsi="Times New Roman"/>
          <w:color w:val="3E3E3E"/>
          <w:sz w:val="28"/>
          <w:szCs w:val="28"/>
          <w:shd w:val="clear" w:color="auto" w:fill="FFFFFF"/>
        </w:rPr>
      </w:pPr>
      <w:r>
        <w:rPr>
          <w:rFonts w:ascii="Helvetica Neue" w:hAnsi="Helvetica Neue"/>
          <w:color w:val="3E3E3E"/>
          <w:sz w:val="28"/>
          <w:szCs w:val="28"/>
          <w:shd w:val="clear" w:color="auto" w:fill="FFFFFF"/>
        </w:rPr>
        <w:t>进入“</w:t>
      </w:r>
      <w:r>
        <w:rPr>
          <w:rStyle w:val="16"/>
          <w:rFonts w:ascii="Helvetica Neue" w:hAnsi="Helvetica Neue"/>
          <w:color w:val="3E3E3E"/>
          <w:sz w:val="28"/>
          <w:szCs w:val="28"/>
          <w:shd w:val="clear" w:color="auto" w:fill="FFFFFF"/>
        </w:rPr>
        <w:t>查看反馈</w:t>
      </w:r>
      <w:r>
        <w:rPr>
          <w:rFonts w:ascii="Helvetica Neue" w:hAnsi="Helvetica Neue"/>
          <w:color w:val="3E3E3E"/>
          <w:sz w:val="28"/>
          <w:szCs w:val="28"/>
          <w:shd w:val="clear" w:color="auto" w:fill="FFFFFF"/>
        </w:rPr>
        <w:t>”可以查看反馈正文内容和下载附件文件。</w:t>
      </w:r>
    </w:p>
    <w:p>
      <w:pPr>
        <w:rPr>
          <w:rFonts w:ascii="Times New Roman" w:hAnsi="Times New Roman"/>
          <w:color w:val="3E3E3E"/>
          <w:sz w:val="28"/>
          <w:szCs w:val="28"/>
          <w:shd w:val="clear" w:color="auto" w:fill="FFFFFF"/>
        </w:rPr>
      </w:pPr>
      <w:r>
        <w:rPr>
          <w:rFonts w:ascii="Times New Roman" w:hAnsi="Times New Roman"/>
          <w:color w:val="3E3E3E"/>
          <w:sz w:val="28"/>
          <w:szCs w:val="28"/>
          <w:shd w:val="clear" w:color="auto" w:fill="FFFFFF"/>
        </w:rPr>
        <w:drawing>
          <wp:inline distT="0" distB="0" distL="0" distR="0">
            <wp:extent cx="5272404" cy="1988820"/>
            <wp:effectExtent l="0" t="0" r="0" b="0"/>
            <wp:docPr id="31" name="图片 31" descr="4642280221448584174812.png"/>
            <wp:cNvGraphicFramePr>
              <a:graphicFrameLocks noChangeAspect="1"/>
            </wp:cNvGraphicFramePr>
            <a:graphic>
              <a:graphicData uri="http://schemas.openxmlformats.org/drawingml/2006/picture">
                <pic:pic>
                  <pic:nvPicPr>
                    <pic:cNvPr id="33" name="图片 33"/>
                    <pic:cNvPicPr/>
                  </pic:nvPicPr>
                  <pic:blipFill>
                    <a:blip r:embed="rId12">
                      <a:lum bright="0" contrast="0"/>
                    </a:blip>
                    <a:srcRect t="0" b="0" l="0" r="0"/>
                    <a:stretch>
                      <a:fillRect/>
                    </a:stretch>
                  </pic:blipFill>
                  <pic:spPr>
                    <a:xfrm rot="0">
                      <a:off x="0" y="0"/>
                      <a:ext cx="5272404" cy="1988820"/>
                    </a:xfrm>
                    <a:prstGeom prst="rect"/>
                    <a:noFill/>
                    <a:ln w="9525" cmpd="sng">
                      <a:noFill/>
                      <a:prstDash val="solid"/>
                      <a:miter/>
                    </a:ln>
                  </pic:spPr>
                </pic:pic>
              </a:graphicData>
            </a:graphic>
          </wp:inline>
        </w:drawing>
      </w:r>
    </w:p>
    <w:p>
      <w:pPr>
        <w:pStyle w:val="2"/>
      </w:pPr>
      <w:bookmarkStart w:id="5" w:name="_Toc436412118"/>
      <w:r>
        <w:rPr>
          <w:rFonts w:hint="eastAsia"/>
        </w:rPr>
        <w:t>（四）活动发起与总结（团委）</w:t>
      </w:r>
      <w:bookmarkEnd w:id="5"/>
    </w:p>
    <w:p>
      <w:pPr>
        <w:pStyle w:val="3"/>
      </w:pPr>
      <w:bookmarkStart w:id="6" w:name="_Toc436412119"/>
      <w:r>
        <w:rPr>
          <w:rFonts w:hint="eastAsia"/>
        </w:rPr>
        <w:t>1、活动发起</w:t>
      </w:r>
      <w:bookmarkEnd w:id="6"/>
    </w:p>
    <w:p>
      <w:pPr>
        <w:ind w:firstLineChars="200" w:firstLine="560"/>
        <w:rPr>
          <w:sz w:val="28"/>
          <w:szCs w:val="28"/>
        </w:rPr>
      </w:pPr>
      <w:r>
        <w:rPr>
          <w:rFonts w:hint="eastAsia"/>
          <w:sz w:val="28"/>
          <w:szCs w:val="28"/>
        </w:rPr>
        <w:t>通过“团的活动”—“共青团员义务星期六”页面，在组织树中选中本级组织，点击右侧添加按钮，进入活动发起页面</w:t>
      </w:r>
    </w:p>
    <w:p>
      <w:pPr>
        <w:rPr>
          <w:sz w:val="28"/>
          <w:szCs w:val="28"/>
        </w:rPr>
      </w:pPr>
      <w:r>
        <w:rPr>
          <w:sz w:val="28"/>
          <w:szCs w:val="28"/>
        </w:rPr>
        <w:drawing>
          <wp:inline distT="0" distB="0" distL="0" distR="0">
            <wp:extent cx="5278120" cy="2112024"/>
            <wp:effectExtent l="0" t="0" r="0" b="0"/>
            <wp:docPr id="34" name="图片 34"/>
            <wp:cNvGraphicFramePr>
              <a:graphicFrameLocks noChangeAspect="1"/>
            </wp:cNvGraphicFramePr>
            <a:graphic>
              <a:graphicData uri="http://schemas.openxmlformats.org/drawingml/2006/picture">
                <pic:pic>
                  <pic:nvPicPr>
                    <pic:cNvPr id="36" name="图片 36"/>
                    <pic:cNvPicPr/>
                  </pic:nvPicPr>
                  <pic:blipFill>
                    <a:blip r:embed="rId13">
                      <a:lum bright="0" contrast="0"/>
                    </a:blip>
                    <a:srcRect t="0" b="0" l="0" r="0"/>
                    <a:stretch>
                      <a:fillRect/>
                    </a:stretch>
                  </pic:blipFill>
                  <pic:spPr>
                    <a:xfrm rot="0">
                      <a:off x="0" y="0"/>
                      <a:ext cx="5278120" cy="2112024"/>
                    </a:xfrm>
                    <a:prstGeom prst="rect"/>
                    <a:noFill/>
                    <a:ln w="9525" cmpd="sng">
                      <a:noFill/>
                      <a:prstDash val="solid"/>
                      <a:miter/>
                    </a:ln>
                  </pic:spPr>
                </pic:pic>
              </a:graphicData>
            </a:graphic>
          </wp:inline>
        </w:drawing>
      </w:r>
    </w:p>
    <w:p>
      <w:pPr>
        <w:ind w:firstLineChars="200" w:firstLine="560"/>
        <w:rPr>
          <w:rFonts w:ascii="宋体"/>
          <w:sz w:val="28"/>
          <w:szCs w:val="28"/>
        </w:rPr>
      </w:pPr>
      <w:r>
        <w:rPr>
          <w:rFonts w:ascii="宋体" w:hint="eastAsia"/>
          <w:sz w:val="28"/>
          <w:szCs w:val="28"/>
        </w:rPr>
        <w:t>填写活动内容，下载志愿服务活动卡，填写完毕后点击提交。</w:t>
      </w:r>
    </w:p>
    <w:p>
      <w:pPr>
        <w:rPr>
          <w:rFonts w:ascii="Helvetica Neue" w:hAnsi="Helvetica Neue" w:hint="eastAsia"/>
          <w:color w:val="3E3E3E"/>
          <w:sz w:val="25"/>
          <w:szCs w:val="25"/>
          <w:shd w:val="clear" w:color="auto" w:fill="FFFFFF"/>
        </w:rPr>
      </w:pPr>
      <w:r>
        <w:rPr>
          <w:rFonts w:ascii="Helvetica Neue" w:hAnsi="Helvetica Neue" w:hint="eastAsia"/>
          <w:color w:val="3E3E3E"/>
          <w:sz w:val="25"/>
          <w:szCs w:val="25"/>
          <w:shd w:val="clear" w:color="auto" w:fill="FFFFFF"/>
        </w:rPr>
        <mc:AlternateContent>
          <mc:Choice Requires="wps">
            <w:drawing>
              <wp:anchor distT="0" distB="0" distL="114297" distR="114297" simplePos="0" relativeHeight="50" behindDoc="0" locked="0" layoutInCell="1" hidden="0" allowOverlap="1">
                <wp:simplePos x="0" y="0"/>
                <wp:positionH relativeFrom="column">
                  <wp:posOffset>3209290</wp:posOffset>
                </wp:positionH>
                <wp:positionV relativeFrom="paragraph">
                  <wp:posOffset>305434</wp:posOffset>
                </wp:positionV>
                <wp:extent cx="219710" cy="90804"/>
                <wp:effectExtent l="0" t="0" r="0" b="0"/>
                <wp:wrapNone/>
                <wp:docPr id="37" name="右箭头 37"/>
                <wp:cNvGraphicFramePr>
                  <a:graphicFrameLocks noChangeAspect="0"/>
                </wp:cNvGraphicFramePr>
                <a:graphic>
                  <a:graphicData uri="http://schemas.microsoft.com/office/word/2010/wordprocessingShape">
                    <wps:wsp>
                      <wps:cNvSpPr/>
                      <wps:spPr>
                        <a:xfrm rot="0">
                          <a:off x="0" y="0"/>
                          <a:ext cx="219710" cy="90804"/>
                        </a:xfrm>
                        <a:prstGeom prst="rightArrow">
                          <a:avLst>
                            <a:gd name="adj1" fmla="val 100000"/>
                            <a:gd name="adj2" fmla="val 60490"/>
                          </a:avLst>
                        </a:prstGeom>
                        <a:solidFill>
                          <a:srgbClr val="0070C0"/>
                        </a:solidFill>
                        <a:ln w="9525" cmpd="sng">
                          <a:solidFill>
                            <a:srgbClr val="0070C0"/>
                          </a:solidFill>
                          <a:prstDash val="solid"/>
                          <a:miter/>
                        </a:ln>
                      </wps:spPr>
                      <wps:bodyPr vert="horz" wrap="square" lIns="91440" tIns="45720" rIns="91440" bIns="45720" anchor="t" anchorCtr="0" upright="1">
                        <a:noAutofit/>
                      </wps:bodyPr>
                    </wps:wsp>
                  </a:graphicData>
                </a:graphic>
              </wp:anchor>
            </w:drawing>
          </mc:Choice>
          <mc:Fallback>
            <w:pict>
              <v:shape type="#_x0000_t13" id="右箭头 38" o:spid="_x0000_s38" fillcolor="#0070C0" stroked="t" adj="16200,0" style="position:absolute;&#13;&#10;margin-left:252.69998pt;&#13;&#10;margin-top:24.05pt;&#13;&#10;width:17.3pt;&#13;&#10;height:7.1499996pt;&#13;&#10;z-index:50;&#13;&#10;mso-position-horizontal:absolute;&#13;&#10;mso-position-vertical:absolute;&#13;&#10;mso-wrap-distance-left:8.99983pt;&#13;&#10;mso-wrap-distance-right:8.99983pt;">
                <v:stroke color="0070C0"/>
              </v:shape>
            </w:pict>
          </mc:Fallback>
        </mc:AlternateContent>
      </w:r>
      <w:r>
        <w:rPr>
          <w:rFonts w:ascii="Helvetica Neue" w:hAnsi="Helvetica Neue"/>
          <w:color w:val="3E3E3E"/>
          <w:sz w:val="25"/>
          <w:szCs w:val="25"/>
          <w:shd w:val="clear" w:color="auto" w:fill="FFFFFF"/>
        </w:rPr>
        <w:drawing>
          <wp:inline distT="0" distB="0" distL="0" distR="0">
            <wp:extent cx="3253740" cy="2559050"/>
            <wp:effectExtent l="0" t="0" r="0" b="0"/>
            <wp:docPr id="39" name="图片 39" descr="4474380031448585988421.png"/>
            <wp:cNvGraphicFramePr>
              <a:graphicFrameLocks noChangeAspect="1"/>
            </wp:cNvGraphicFramePr>
            <a:graphic>
              <a:graphicData uri="http://schemas.openxmlformats.org/drawingml/2006/picture">
                <pic:pic>
                  <pic:nvPicPr>
                    <pic:cNvPr id="41" name="图片 41"/>
                    <pic:cNvPicPr/>
                  </pic:nvPicPr>
                  <pic:blipFill>
                    <a:blip r:embed="rId14">
                      <a:lum bright="0" contrast="0"/>
                    </a:blip>
                    <a:srcRect t="0" b="0" l="0" r="0"/>
                    <a:stretch>
                      <a:fillRect/>
                    </a:stretch>
                  </pic:blipFill>
                  <pic:spPr>
                    <a:xfrm rot="0">
                      <a:off x="0" y="0"/>
                      <a:ext cx="3253740" cy="2559050"/>
                    </a:xfrm>
                    <a:prstGeom prst="rect"/>
                    <a:noFill/>
                    <a:ln w="9525" cmpd="sng">
                      <a:noFill/>
                      <a:prstDash val="solid"/>
                      <a:miter/>
                    </a:ln>
                  </pic:spPr>
                </pic:pic>
              </a:graphicData>
            </a:graphic>
          </wp:inline>
        </w:drawing>
      </w:r>
      <w:r>
        <w:rPr>
          <w:rFonts w:ascii="Helvetica Neue" w:hAnsi="Helvetica Neue"/>
          <w:color w:val="3E3E3E"/>
          <w:sz w:val="25"/>
          <w:szCs w:val="25"/>
          <w:shd w:val="clear" w:color="auto" w:fill="FFFFFF"/>
        </w:rPr>
        <w:drawing>
          <wp:inline distT="0" distB="0" distL="0" distR="0">
            <wp:extent cx="1888490" cy="2583180"/>
            <wp:effectExtent l="0" t="0" r="0" b="0"/>
            <wp:docPr id="42" name="图片 42" descr="1848153531448585988437.png"/>
            <wp:cNvGraphicFramePr>
              <a:graphicFrameLocks noChangeAspect="1"/>
            </wp:cNvGraphicFramePr>
            <a:graphic>
              <a:graphicData uri="http://schemas.openxmlformats.org/drawingml/2006/picture">
                <pic:pic>
                  <pic:nvPicPr>
                    <pic:cNvPr id="44" name="图片 44"/>
                    <pic:cNvPicPr/>
                  </pic:nvPicPr>
                  <pic:blipFill>
                    <a:blip r:embed="rId15">
                      <a:lum bright="0" contrast="0"/>
                    </a:blip>
                    <a:srcRect t="0" b="0" l="0" r="0"/>
                    <a:stretch>
                      <a:fillRect/>
                    </a:stretch>
                  </pic:blipFill>
                  <pic:spPr>
                    <a:xfrm rot="0">
                      <a:off x="0" y="0"/>
                      <a:ext cx="1888490" cy="2583180"/>
                    </a:xfrm>
                    <a:prstGeom prst="rect"/>
                    <a:noFill/>
                    <a:ln w="9525" cmpd="sng">
                      <a:noFill/>
                      <a:prstDash val="solid"/>
                      <a:miter/>
                    </a:ln>
                  </pic:spPr>
                </pic:pic>
              </a:graphicData>
            </a:graphic>
          </wp:inline>
        </w:drawing>
      </w:r>
    </w:p>
    <w:p>
      <w:pPr>
        <w:pStyle w:val="3"/>
      </w:pPr>
      <w:bookmarkStart w:id="7" w:name="_Toc436412120"/>
      <w:r>
        <w:rPr>
          <w:rFonts w:hint="eastAsia"/>
        </w:rPr>
        <w:t>2、活动总结</w:t>
      </w:r>
      <w:bookmarkEnd w:id="7"/>
    </w:p>
    <w:p>
      <w:pPr>
        <w:ind w:firstLineChars="200" w:firstLine="560"/>
        <w:rPr>
          <w:sz w:val="28"/>
          <w:szCs w:val="28"/>
        </w:rPr>
      </w:pPr>
      <w:r>
        <w:rPr>
          <w:rFonts w:hint="eastAsia"/>
          <w:sz w:val="28"/>
          <w:szCs w:val="28"/>
        </w:rPr>
        <w:t>通过“团的活动”—“共青团员义务星期六”页面，在组织树中选中本级组织，在列表中选中该活动，点击“查看”按钮，进入活动详情页，点击“总结”按钮，对活动进行总结。</w:t>
      </w:r>
    </w:p>
    <w:p>
      <w:pPr>
        <w:rPr>
          <w:sz w:val="28"/>
          <w:szCs w:val="28"/>
        </w:rPr>
      </w:pPr>
      <w:r>
        <w:rPr>
          <w:sz w:val="28"/>
          <w:szCs w:val="28"/>
        </w:rPr>
        <w:drawing>
          <wp:inline distT="0" distB="0" distL="0" distR="0">
            <wp:extent cx="5278120" cy="1845799"/>
            <wp:effectExtent l="0" t="0" r="0" b="0"/>
            <wp:docPr id="45" name="图片 45"/>
            <wp:cNvGraphicFramePr>
              <a:graphicFrameLocks noChangeAspect="1"/>
            </wp:cNvGraphicFramePr>
            <a:graphic>
              <a:graphicData uri="http://schemas.openxmlformats.org/drawingml/2006/picture">
                <pic:pic>
                  <pic:nvPicPr>
                    <pic:cNvPr id="47" name="图片 47"/>
                    <pic:cNvPicPr/>
                  </pic:nvPicPr>
                  <pic:blipFill>
                    <a:blip r:embed="rId16">
                      <a:lum bright="0" contrast="0"/>
                    </a:blip>
                    <a:srcRect t="0" b="0" l="0" r="0"/>
                    <a:stretch>
                      <a:fillRect/>
                    </a:stretch>
                  </pic:blipFill>
                  <pic:spPr>
                    <a:xfrm rot="0">
                      <a:off x="0" y="0"/>
                      <a:ext cx="5278120" cy="1845799"/>
                    </a:xfrm>
                    <a:prstGeom prst="rect"/>
                    <a:noFill/>
                    <a:ln w="9525" cmpd="sng">
                      <a:noFill/>
                      <a:prstDash val="solid"/>
                      <a:miter/>
                    </a:ln>
                  </pic:spPr>
                </pic:pic>
              </a:graphicData>
            </a:graphic>
          </wp:inline>
        </w:drawing>
      </w:r>
    </w:p>
    <w:p>
      <w:pPr>
        <w:pStyle w:val="2"/>
        <w:rPr>
          <w:shd w:val="clear" w:color="auto" w:fill="FFFFFF"/>
        </w:rPr>
      </w:pPr>
      <w:bookmarkStart w:id="8" w:name="_Toc436412121"/>
      <w:r>
        <w:rPr>
          <w:rFonts w:hint="eastAsia"/>
          <w:shd w:val="clear" w:color="auto" w:fill="FFFFFF"/>
        </w:rPr>
        <w:t>（五）下级团组织活动开展情况查询、评价与本级优秀案例选取</w:t>
      </w:r>
      <w:bookmarkEnd w:id="8"/>
    </w:p>
    <w:p>
      <w:pPr>
        <w:ind w:firstLineChars="200" w:firstLine="560"/>
        <w:rPr>
          <w:rFonts w:ascii="宋体"/>
          <w:color w:val="3E3E3E"/>
          <w:sz w:val="28"/>
          <w:szCs w:val="28"/>
          <w:shd w:val="clear" w:color="auto" w:fill="FFFFFF"/>
        </w:rPr>
      </w:pPr>
      <w:r>
        <w:rPr>
          <w:rFonts w:ascii="宋体" w:hint="eastAsia"/>
          <w:color w:val="3E3E3E"/>
          <w:sz w:val="28"/>
          <w:szCs w:val="28"/>
          <w:shd w:val="clear" w:color="auto" w:fill="FFFFFF"/>
        </w:rPr>
        <w:t>通过“团的活动”—“共青团员义务星期六”页面，在组织树中选中相关下级组织，进入下级组织共青团员义务星期六活动列表页面，点击“查看”按钮，查看具体活动情况。</w:t>
      </w:r>
    </w:p>
    <w:p>
      <w:pPr>
        <w:rPr>
          <w:rFonts w:ascii="宋体"/>
          <w:color w:val="3E3E3E"/>
          <w:sz w:val="28"/>
          <w:szCs w:val="28"/>
          <w:shd w:val="clear" w:color="auto" w:fill="FFFFFF"/>
        </w:rPr>
      </w:pPr>
      <w:r>
        <w:rPr>
          <w:rFonts w:ascii="宋体" w:hint="eastAsia"/>
          <w:color w:val="3E3E3E"/>
          <w:sz w:val="28"/>
          <w:szCs w:val="28"/>
          <w:shd w:val="clear" w:color="auto" w:fill="FFFFFF"/>
        </w:rPr>
        <w:drawing>
          <wp:inline distT="0" distB="0" distL="0" distR="0">
            <wp:extent cx="5278120" cy="1979755"/>
            <wp:effectExtent l="0" t="0" r="0" b="0"/>
            <wp:docPr id="48" name="图片 48"/>
            <wp:cNvGraphicFramePr>
              <a:graphicFrameLocks noChangeAspect="1"/>
            </wp:cNvGraphicFramePr>
            <a:graphic>
              <a:graphicData uri="http://schemas.openxmlformats.org/drawingml/2006/picture">
                <pic:pic>
                  <pic:nvPicPr>
                    <pic:cNvPr id="50" name="图片 50"/>
                    <pic:cNvPicPr/>
                  </pic:nvPicPr>
                  <pic:blipFill>
                    <a:blip r:embed="rId17">
                      <a:lum bright="0" contrast="0"/>
                    </a:blip>
                    <a:srcRect t="0" b="0" l="0" r="0"/>
                    <a:stretch>
                      <a:fillRect/>
                    </a:stretch>
                  </pic:blipFill>
                  <pic:spPr>
                    <a:xfrm rot="0">
                      <a:off x="0" y="0"/>
                      <a:ext cx="5278120" cy="1979755"/>
                    </a:xfrm>
                    <a:prstGeom prst="rect"/>
                    <a:noFill/>
                    <a:ln w="9525" cmpd="sng">
                      <a:noFill/>
                      <a:prstDash val="solid"/>
                      <a:miter/>
                    </a:ln>
                  </pic:spPr>
                </pic:pic>
              </a:graphicData>
            </a:graphic>
          </wp:inline>
        </w:drawing>
      </w:r>
    </w:p>
    <w:p>
      <w:pPr>
        <w:ind w:firstLine="555"/>
        <w:rPr>
          <w:rFonts w:ascii="宋体"/>
          <w:color w:val="3E3E3E"/>
          <w:sz w:val="28"/>
          <w:szCs w:val="28"/>
          <w:shd w:val="clear" w:color="auto" w:fill="FFFFFF"/>
        </w:rPr>
      </w:pPr>
      <w:r>
        <w:rPr>
          <w:rFonts w:ascii="宋体" w:hint="eastAsia"/>
          <w:color w:val="3E3E3E"/>
          <w:sz w:val="28"/>
          <w:szCs w:val="28"/>
          <w:shd w:val="clear" w:color="auto" w:fill="FFFFFF"/>
        </w:rPr>
        <w:t>活动详情页能进行点赞、评价、设置为优秀案例等操作</w:t>
      </w:r>
    </w:p>
    <w:p>
      <w:pPr>
        <w:rPr>
          <w:rFonts w:ascii="宋体"/>
          <w:color w:val="3E3E3E"/>
          <w:sz w:val="28"/>
          <w:szCs w:val="28"/>
          <w:shd w:val="clear" w:color="auto" w:fill="FFFFFF"/>
        </w:rPr>
      </w:pPr>
      <w:r>
        <w:rPr>
          <w:rFonts w:ascii="宋体" w:hint="eastAsia"/>
          <w:color w:val="3E3E3E"/>
          <w:sz w:val="28"/>
          <w:szCs w:val="28"/>
          <w:shd w:val="clear" w:color="auto" w:fill="FFFFFF"/>
        </w:rPr>
        <w:drawing>
          <wp:inline distT="0" distB="0" distL="0" distR="0">
            <wp:extent cx="5278120" cy="2491355"/>
            <wp:effectExtent l="0" t="0" r="0" b="0"/>
            <wp:docPr id="51" name="图片 51"/>
            <wp:cNvGraphicFramePr>
              <a:graphicFrameLocks noChangeAspect="1"/>
            </wp:cNvGraphicFramePr>
            <a:graphic>
              <a:graphicData uri="http://schemas.openxmlformats.org/drawingml/2006/picture">
                <pic:pic>
                  <pic:nvPicPr>
                    <pic:cNvPr id="53" name="图片 53"/>
                    <pic:cNvPicPr/>
                  </pic:nvPicPr>
                  <pic:blipFill>
                    <a:blip r:embed="rId18">
                      <a:lum bright="0" contrast="0"/>
                    </a:blip>
                    <a:srcRect t="0" b="0" l="0" r="0"/>
                    <a:stretch>
                      <a:fillRect/>
                    </a:stretch>
                  </pic:blipFill>
                  <pic:spPr>
                    <a:xfrm rot="0">
                      <a:off x="0" y="0"/>
                      <a:ext cx="5278120" cy="2491355"/>
                    </a:xfrm>
                    <a:prstGeom prst="rect"/>
                    <a:noFill/>
                    <a:ln w="9525" cmpd="sng">
                      <a:noFill/>
                      <a:prstDash val="solid"/>
                      <a:miter/>
                    </a:ln>
                  </pic:spPr>
                </pic:pic>
              </a:graphicData>
            </a:graphic>
          </wp:inline>
        </w:drawing>
      </w:r>
    </w:p>
    <w:p>
      <w:pPr>
        <w:pStyle w:val="2"/>
        <w:rPr>
          <w:shd w:val="clear" w:color="auto" w:fill="FFFFFF"/>
        </w:rPr>
      </w:pPr>
      <w:bookmarkStart w:id="9" w:name="_Toc436412122"/>
      <w:r>
        <w:rPr>
          <w:rFonts w:hint="eastAsia"/>
          <w:shd w:val="clear" w:color="auto" w:fill="FFFFFF"/>
        </w:rPr>
        <w:t>（六）工作汇报</w:t>
      </w:r>
      <w:bookmarkEnd w:id="9"/>
    </w:p>
    <w:p>
      <w:pPr>
        <w:ind w:firstLineChars="200" w:firstLine="560"/>
        <w:rPr>
          <w:rFonts w:ascii="宋体"/>
          <w:color w:val="3E3E3E"/>
          <w:sz w:val="28"/>
          <w:szCs w:val="28"/>
          <w:shd w:val="clear" w:color="auto" w:fill="FFFFFF"/>
        </w:rPr>
      </w:pPr>
      <w:r>
        <w:rPr>
          <w:rFonts w:ascii="宋体"/>
          <w:color w:val="3E3E3E"/>
          <w:sz w:val="28"/>
          <w:szCs w:val="28"/>
          <w:shd w:val="clear" w:color="auto" w:fill="FFFFFF"/>
        </w:rPr>
        <w:t>进入</w:t>
      </w:r>
      <w:r>
        <w:rPr>
          <w:rFonts w:ascii="宋体" w:hint="eastAsia"/>
          <w:color w:val="3E3E3E"/>
          <w:sz w:val="28"/>
          <w:szCs w:val="28"/>
          <w:shd w:val="clear" w:color="auto" w:fill="FFFFFF"/>
        </w:rPr>
        <w:t>“</w:t>
      </w:r>
      <w:r>
        <w:rPr>
          <w:rFonts w:ascii="宋体"/>
          <w:color w:val="3E3E3E"/>
          <w:sz w:val="28"/>
          <w:szCs w:val="28"/>
          <w:shd w:val="clear" w:color="auto" w:fill="FFFFFF"/>
        </w:rPr>
        <w:t>工作汇报</w:t>
      </w:r>
      <w:r>
        <w:rPr>
          <w:rFonts w:ascii="宋体" w:hint="eastAsia"/>
          <w:color w:val="3E3E3E"/>
          <w:sz w:val="28"/>
          <w:szCs w:val="28"/>
          <w:shd w:val="clear" w:color="auto" w:fill="FFFFFF"/>
        </w:rPr>
        <w:t>”—“</w:t>
      </w:r>
      <w:r>
        <w:rPr>
          <w:rFonts w:ascii="宋体"/>
          <w:color w:val="3E3E3E"/>
          <w:sz w:val="28"/>
          <w:szCs w:val="28"/>
          <w:shd w:val="clear" w:color="auto" w:fill="FFFFFF"/>
        </w:rPr>
        <w:t>提交汇报</w:t>
      </w:r>
      <w:r>
        <w:rPr>
          <w:rFonts w:ascii="宋体" w:hint="eastAsia"/>
          <w:color w:val="3E3E3E"/>
          <w:sz w:val="28"/>
          <w:szCs w:val="28"/>
          <w:shd w:val="clear" w:color="auto" w:fill="FFFFFF"/>
        </w:rPr>
        <w:t>”</w:t>
      </w:r>
      <w:r>
        <w:rPr>
          <w:rFonts w:ascii="宋体"/>
          <w:color w:val="3E3E3E"/>
          <w:sz w:val="28"/>
          <w:szCs w:val="28"/>
          <w:shd w:val="clear" w:color="auto" w:fill="FFFFFF"/>
        </w:rPr>
        <w:t>上传工作汇报；</w:t>
      </w:r>
      <w:r>
        <w:rPr>
          <w:rFonts w:ascii="宋体" w:hint="eastAsia"/>
          <w:color w:val="3E3E3E"/>
          <w:sz w:val="28"/>
          <w:szCs w:val="28"/>
          <w:shd w:val="clear" w:color="auto" w:fill="FFFFFF"/>
        </w:rPr>
        <w:t>（如下图）</w:t>
      </w:r>
    </w:p>
    <w:p>
      <w:pPr>
        <w:ind w:left="420" w:hangingChars="200" w:hanging="420"/>
      </w:pPr>
      <w:r>
        <w:drawing>
          <wp:inline distT="0" distB="0" distL="0" distR="0">
            <wp:extent cx="5272404" cy="2262505"/>
            <wp:effectExtent l="0" t="0" r="0" b="0"/>
            <wp:docPr id="54" name="图片 54" descr="9614048281448584174828.png"/>
            <wp:cNvGraphicFramePr>
              <a:graphicFrameLocks noChangeAspect="1"/>
            </wp:cNvGraphicFramePr>
            <a:graphic>
              <a:graphicData uri="http://schemas.openxmlformats.org/drawingml/2006/picture">
                <pic:pic>
                  <pic:nvPicPr>
                    <pic:cNvPr id="56" name="图片 56"/>
                    <pic:cNvPicPr/>
                  </pic:nvPicPr>
                  <pic:blipFill>
                    <a:blip r:embed="rId19">
                      <a:lum bright="0" contrast="0"/>
                    </a:blip>
                    <a:srcRect t="0" b="0" l="0" r="0"/>
                    <a:stretch>
                      <a:fillRect/>
                    </a:stretch>
                  </pic:blipFill>
                  <pic:spPr>
                    <a:xfrm rot="0">
                      <a:off x="0" y="0"/>
                      <a:ext cx="5272404" cy="2262505"/>
                    </a:xfrm>
                    <a:prstGeom prst="rect"/>
                    <a:noFill/>
                    <a:ln w="9525" cmpd="sng">
                      <a:noFill/>
                      <a:prstDash val="solid"/>
                      <a:miter/>
                    </a:ln>
                  </pic:spPr>
                </pic:pic>
              </a:graphicData>
            </a:graphic>
          </wp:inline>
        </w:drawing>
      </w:r>
      <w:r>
        <w:rPr>
          <w:rFonts w:ascii="宋体" w:hint="eastAsia"/>
          <w:color w:val="3E3E3E"/>
          <w:sz w:val="28"/>
          <w:szCs w:val="28"/>
          <w:shd w:val="clear" w:color="auto" w:fill="FFFFFF"/>
        </w:rPr>
        <w:t>本次活动有两类工作汇报“1205活动-团属新媒体宣传发动”和“1205活动-社会媒体报道”，请注意区分</w:t>
      </w:r>
    </w:p>
    <w:p>
      <w:pPr>
        <w:pStyle w:val="2"/>
        <w:rPr>
          <w:shd w:val="clear" w:color="auto" w:fill="FFFFFF"/>
        </w:rPr>
      </w:pPr>
      <w:bookmarkStart w:id="10" w:name="_Toc436412123"/>
      <w:r>
        <w:rPr>
          <w:rFonts w:hint="eastAsia"/>
          <w:shd w:val="clear" w:color="auto" w:fill="FFFFFF"/>
        </w:rPr>
        <w:t>（七）查看下级工作汇报</w:t>
      </w:r>
      <w:bookmarkEnd w:id="10"/>
    </w:p>
    <w:p>
      <w:pPr>
        <w:ind w:firstLineChars="200" w:firstLine="560"/>
        <w:rPr>
          <w:rFonts w:ascii="宋体"/>
          <w:color w:val="3E3E3E"/>
          <w:sz w:val="28"/>
          <w:szCs w:val="28"/>
          <w:shd w:val="clear" w:color="auto" w:fill="FFFFFF"/>
        </w:rPr>
      </w:pPr>
      <w:r>
        <w:rPr>
          <w:rFonts w:ascii="宋体"/>
          <w:color w:val="3E3E3E"/>
          <w:sz w:val="28"/>
          <w:szCs w:val="28"/>
          <w:shd w:val="clear" w:color="auto" w:fill="FFFFFF"/>
        </w:rPr>
        <w:t>进入</w:t>
      </w:r>
      <w:r>
        <w:rPr>
          <w:rFonts w:ascii="宋体" w:hint="eastAsia"/>
          <w:color w:val="3E3E3E"/>
          <w:sz w:val="28"/>
          <w:szCs w:val="28"/>
          <w:shd w:val="clear" w:color="auto" w:fill="FFFFFF"/>
        </w:rPr>
        <w:t>“</w:t>
      </w:r>
      <w:r>
        <w:rPr>
          <w:rFonts w:ascii="宋体"/>
          <w:color w:val="3E3E3E"/>
          <w:sz w:val="28"/>
          <w:szCs w:val="28"/>
          <w:shd w:val="clear" w:color="auto" w:fill="FFFFFF"/>
        </w:rPr>
        <w:t>工作汇报</w:t>
      </w:r>
      <w:r>
        <w:rPr>
          <w:rFonts w:ascii="宋体" w:hint="eastAsia"/>
          <w:color w:val="3E3E3E"/>
          <w:sz w:val="28"/>
          <w:szCs w:val="28"/>
          <w:shd w:val="clear" w:color="auto" w:fill="FFFFFF"/>
        </w:rPr>
        <w:t>”—“</w:t>
      </w:r>
      <w:r>
        <w:rPr>
          <w:rFonts w:ascii="宋体"/>
          <w:color w:val="3E3E3E"/>
          <w:sz w:val="28"/>
          <w:szCs w:val="28"/>
          <w:shd w:val="clear" w:color="auto" w:fill="FFFFFF"/>
        </w:rPr>
        <w:t>查看汇报</w:t>
      </w:r>
      <w:r>
        <w:rPr>
          <w:rFonts w:ascii="宋体" w:hint="eastAsia"/>
          <w:color w:val="3E3E3E"/>
          <w:sz w:val="28"/>
          <w:szCs w:val="28"/>
          <w:shd w:val="clear" w:color="auto" w:fill="FFFFFF"/>
        </w:rPr>
        <w:t>”</w:t>
      </w:r>
      <w:r>
        <w:rPr>
          <w:rFonts w:ascii="宋体"/>
          <w:color w:val="3E3E3E"/>
          <w:sz w:val="28"/>
          <w:szCs w:val="28"/>
          <w:shd w:val="clear" w:color="auto" w:fill="FFFFFF"/>
        </w:rPr>
        <w:t>；</w:t>
      </w:r>
      <w:r>
        <w:rPr>
          <w:rFonts w:ascii="宋体" w:hint="eastAsia"/>
          <w:color w:val="3E3E3E"/>
          <w:sz w:val="28"/>
          <w:szCs w:val="28"/>
          <w:shd w:val="clear" w:color="auto" w:fill="FFFFFF"/>
        </w:rPr>
        <w:t>（如下图）</w:t>
      </w:r>
    </w:p>
    <w:p>
      <w:pPr>
        <w:rPr>
          <w:rFonts w:ascii="宋体"/>
          <w:color w:val="3E3E3E"/>
          <w:sz w:val="28"/>
          <w:szCs w:val="28"/>
          <w:shd w:val="clear" w:color="auto" w:fill="FFFFFF"/>
        </w:rPr>
      </w:pPr>
      <w:r>
        <w:rPr>
          <w:rFonts w:ascii="宋体"/>
          <w:color w:val="3E3E3E"/>
          <w:sz w:val="28"/>
          <w:szCs w:val="28"/>
          <w:shd w:val="clear" w:color="auto" w:fill="FFFFFF"/>
        </w:rPr>
        <w:drawing>
          <wp:inline distT="0" distB="0" distL="0" distR="0">
            <wp:extent cx="5272404" cy="1977390"/>
            <wp:effectExtent l="0" t="0" r="0" b="0"/>
            <wp:docPr id="57" name="图片 57" descr="8581653621448584174828.png"/>
            <wp:cNvGraphicFramePr>
              <a:graphicFrameLocks noChangeAspect="1"/>
            </wp:cNvGraphicFramePr>
            <a:graphic>
              <a:graphicData uri="http://schemas.openxmlformats.org/drawingml/2006/picture">
                <pic:pic>
                  <pic:nvPicPr>
                    <pic:cNvPr id="59" name="图片 59"/>
                    <pic:cNvPicPr/>
                  </pic:nvPicPr>
                  <pic:blipFill>
                    <a:blip r:embed="rId20">
                      <a:lum bright="0" contrast="0"/>
                    </a:blip>
                    <a:srcRect t="0" b="0" l="0" r="0"/>
                    <a:stretch>
                      <a:fillRect/>
                    </a:stretch>
                  </pic:blipFill>
                  <pic:spPr>
                    <a:xfrm rot="0">
                      <a:off x="0" y="0"/>
                      <a:ext cx="5272404" cy="1977390"/>
                    </a:xfrm>
                    <a:prstGeom prst="rect"/>
                    <a:noFill/>
                    <a:ln w="9525" cmpd="sng">
                      <a:noFill/>
                      <a:prstDash val="solid"/>
                      <a:miter/>
                    </a:ln>
                  </pic:spPr>
                </pic:pic>
              </a:graphicData>
            </a:graphic>
          </wp:inline>
        </w:drawing>
      </w:r>
    </w:p>
    <w:p>
      <w:pPr>
        <w:ind w:firstLineChars="200" w:firstLine="560"/>
        <w:rPr>
          <w:rFonts w:ascii="宋体"/>
          <w:color w:val="3E3E3E"/>
          <w:sz w:val="28"/>
          <w:szCs w:val="28"/>
          <w:shd w:val="clear" w:color="auto" w:fill="FFFFFF"/>
        </w:rPr>
      </w:pPr>
      <w:r>
        <w:rPr>
          <w:rFonts w:ascii="宋体" w:hint="eastAsia"/>
          <w:color w:val="3E3E3E"/>
          <w:sz w:val="28"/>
          <w:szCs w:val="28"/>
          <w:shd w:val="clear" w:color="auto" w:fill="FFFFFF"/>
        </w:rPr>
        <w:t>可通过“汇报来源”筛选汇报的下级组织，可通过“汇报类型”来筛选下级汇报的内容，本次汇报类型分为“1205活动-团属新媒体宣传发动”和“1205活动-社会媒体报道”两类。</w:t>
      </w:r>
    </w:p>
    <w:p>
      <w:pPr>
        <w:rPr>
          <w:rFonts w:ascii="宋体"/>
          <w:color w:val="3E3E3E"/>
          <w:sz w:val="28"/>
          <w:szCs w:val="28"/>
          <w:shd w:val="clear" w:color="auto" w:fill="FFFFFF"/>
        </w:rPr>
      </w:pPr>
      <w:r>
        <w:rPr>
          <w:rFonts w:ascii="宋体" w:hint="eastAsia"/>
          <w:color w:val="3E3E3E"/>
          <w:sz w:val="28"/>
          <w:szCs w:val="28"/>
          <w:shd w:val="clear" w:color="auto" w:fill="FFFFFF"/>
        </w:rPr>
        <w:t>（八）向上级推报优秀案例</w:t>
      </w:r>
    </w:p>
    <w:p>
      <w:pPr>
        <w:ind w:firstLineChars="200" w:firstLine="560"/>
        <w:rPr>
          <w:rFonts w:ascii="宋体"/>
          <w:color w:val="3E3E3E"/>
          <w:sz w:val="28"/>
          <w:szCs w:val="28"/>
          <w:shd w:val="clear" w:color="auto" w:fill="FFFFFF"/>
        </w:rPr>
      </w:pPr>
      <w:r>
        <w:rPr>
          <w:rFonts w:ascii="宋体" w:hint="eastAsia"/>
          <w:color w:val="3E3E3E"/>
          <w:sz w:val="28"/>
          <w:szCs w:val="28"/>
          <w:shd w:val="clear" w:color="auto" w:fill="FFFFFF"/>
        </w:rPr>
        <w:t>进入“学习建设-查看优秀案例”，在组织树中选中本级组织，可以查看本级组织的优秀案例，选择案例类型可以查看相关类型案例（本次活动均为“共青团员义务星期六”这一类型）点击右侧“查看”按钮可查看具体内容，点击“向上级推报”按钮则可向上级团组织推荐该案例。</w:t>
      </w:r>
    </w:p>
    <w:p>
      <w:pPr>
        <w:rPr>
          <w:rFonts w:ascii="宋体"/>
          <w:color w:val="3E3E3E"/>
          <w:sz w:val="28"/>
          <w:szCs w:val="28"/>
          <w:shd w:val="clear" w:color="auto" w:fill="FFFFFF"/>
        </w:rPr>
      </w:pPr>
      <w:r>
        <w:rPr>
          <w:rFonts w:ascii="宋体"/>
          <w:color w:val="3E3E3E"/>
          <w:sz w:val="28"/>
          <w:szCs w:val="28"/>
          <w:shd w:val="clear" w:color="auto" w:fill="FFFFFF"/>
        </w:rPr>
        <w:drawing>
          <wp:inline distT="0" distB="0" distL="0" distR="0">
            <wp:extent cx="5278120" cy="1602084"/>
            <wp:effectExtent l="0" t="0" r="0" b="0"/>
            <wp:docPr id="60" name="图片 60"/>
            <wp:cNvGraphicFramePr>
              <a:graphicFrameLocks noChangeAspect="1"/>
            </wp:cNvGraphicFramePr>
            <a:graphic>
              <a:graphicData uri="http://schemas.openxmlformats.org/drawingml/2006/picture">
                <pic:pic>
                  <pic:nvPicPr>
                    <pic:cNvPr id="62" name="图片 62"/>
                    <pic:cNvPicPr/>
                  </pic:nvPicPr>
                  <pic:blipFill>
                    <a:blip r:embed="rId21">
                      <a:lum bright="0" contrast="0"/>
                    </a:blip>
                    <a:srcRect t="0" b="0" l="0" r="0"/>
                    <a:stretch>
                      <a:fillRect/>
                    </a:stretch>
                  </pic:blipFill>
                  <pic:spPr>
                    <a:xfrm rot="0">
                      <a:off x="0" y="0"/>
                      <a:ext cx="5278120" cy="1602084"/>
                    </a:xfrm>
                    <a:prstGeom prst="rect"/>
                    <a:noFill/>
                    <a:ln w="9525" cmpd="sng">
                      <a:noFill/>
                      <a:prstDash val="solid"/>
                      <a:miter/>
                    </a:ln>
                  </pic:spPr>
                </pic:pic>
              </a:graphicData>
            </a:graphic>
          </wp:inline>
        </w:drawing>
      </w:r>
    </w:p>
    <w:p>
      <w:pPr>
        <w:jc w:val="left"/>
        <w:rPr>
          <w:sz w:val="28"/>
          <w:szCs w:val="28"/>
        </w:rPr>
      </w:pPr>
    </w:p>
    <w:sectPr>
      <w:pgSz w:w="11906" w:h="16838"/>
      <w:pgMar w:top="1440" w:right="1797" w:bottom="1440" w:left="1797"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Helvetica Neue">
    <w:altName w:val="Arial"/>
    <w:panose1 w:val="00000000000000000000"/>
    <w:charset w:val="00"/>
    <w:family w:val="auto"/>
    <w:pitch w:val="variable"/>
    <w:sig w:usb0="00000000" w:usb1="00000000" w:usb2="00000000" w:usb3="00000000" w:csb0="00000000" w:csb1="00000000"/>
  </w:font>
  <w:font w:name="楷体">
    <w:altName w:val="楷体_GB2312"/>
    <w:panose1 w:val="00000000000000000000"/>
    <w:charset w:val="00"/>
    <w:family w:val="auto"/>
    <w:pitch w:val="variable"/>
    <w:sig w:usb0="00000000" w:usb1="00000000" w:usb2="00000000" w:usb3="00000000" w:csb0="00000000" w:csb1="00000000"/>
  </w:font>
  <w:font w:name="寰蒋闆呴粦">
    <w:altName w:val="宋体"/>
    <w:panose1 w:val="00000000000000000000"/>
    <w:charset w:val="00"/>
    <w:family w:val="auto"/>
    <w:pitch w:val="variable"/>
    <w:sig w:usb0="00000000" w:usb1="00000000" w:usb2="00000000" w:usb3="00000000" w:csb0="00000000" w:csb1="00000000"/>
  </w:font>
  <w:font w:name="宋体">
    <w:panose1 w:val="02010600030101010101"/>
    <w:charset w:val="86"/>
    <w:family w:val="auto"/>
    <w:pitch w:val="variable"/>
    <w:sig w:usb0="00000003" w:usb1="080E0000" w:usb2="00000000" w:usb3="00000000" w:csb0="00040001" w:csb1="00000000"/>
  </w:font>
  <w:font w:name="Times New Roman">
    <w:panose1 w:val="02020603050405020304"/>
    <w:charset w:val="00"/>
    <w:family w:val="auto"/>
    <w:pitch w:val="variable"/>
    <w:sig w:usb0="00000A87" w:usb1="00000000" w:usb2="00000000" w:usb3="00000000" w:csb0="400001BF" w:csb1="DFF70000"/>
  </w:font>
  <w:font w:name="Calibri">
    <w:panose1 w:val="020F0502020204030204"/>
    <w:charset w:val="00"/>
    <w:family w:val="auto"/>
    <w:pitch w:val="variable"/>
    <w:sig w:usb0="A00002EF" w:usb1="4000207B" w:usb2="00000000" w:usb3="00000000" w:csb0="2000009F" w:csb1="00000000"/>
  </w:font>
  <w:font w:name="Arial">
    <w:panose1 w:val="020B0604020202020204"/>
    <w:charset w:val="00"/>
    <w:family w:val="auto"/>
    <w:pitch w:val="variable"/>
    <w:sig w:usb0="00007A87" w:usb1="80000000" w:usb2="00000008" w:usb3="00000000" w:csb0="400001FF" w:csb1="FFFF0000"/>
  </w:font>
  <w:font w:name="Cambria">
    <w:panose1 w:val="02040503050406030204"/>
    <w:charset w:val="00"/>
    <w:family w:val="auto"/>
    <w:pitch w:val="variable"/>
    <w:sig w:usb0="A00002EF" w:usb1="4000004B" w:usb2="00000000" w:usb3="00000000" w:csb0="2000009F"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6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growAutofit/>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2"/>
      <w:lang w:val="en-US" w:eastAsia="zh-CN" w:bidi="ar-SA"/>
    </w:rPr>
  </w:style>
  <w:style w:type="paragraph" w:styleId="1">
    <w:name w:val="heading 1"/>
    <w:basedOn w:val="0"/>
    <w:next w:val="0"/>
    <w:pPr>
      <w:keepNext/>
      <w:keepLines/>
      <w:widowControl w:val="0"/>
      <w:spacing w:before="340" w:after="330" w:line="578" w:lineRule="auto"/>
      <w:outlineLvl w:val="0"/>
    </w:pPr>
    <w:rPr>
      <w:b/>
      <w:bCs/>
      <w:kern w:val="44"/>
      <w:sz w:val="44"/>
      <w:szCs w:val="44"/>
    </w:rPr>
  </w:style>
  <w:style w:type="paragraph" w:styleId="2">
    <w:name w:val="heading 2"/>
    <w:basedOn w:val="0"/>
    <w:next w:val="0"/>
    <w:pPr>
      <w:keepNext/>
      <w:keepLines/>
      <w:widowControl w:val="0"/>
      <w:spacing w:before="260" w:after="260" w:line="415" w:lineRule="auto"/>
      <w:outlineLvl w:val="1"/>
    </w:pPr>
    <w:rPr>
      <w:rFonts w:ascii="Cambria" w:eastAsia="宋体" w:cs="Times New Roman" w:hAnsi="Cambria"/>
      <w:b/>
      <w:bCs/>
      <w:sz w:val="32"/>
      <w:szCs w:val="32"/>
    </w:rPr>
  </w:style>
  <w:style w:type="paragraph" w:styleId="3">
    <w:name w:val="heading 3"/>
    <w:basedOn w:val="0"/>
    <w:next w:val="0"/>
    <w:pPr>
      <w:keepNext/>
      <w:keepLines/>
      <w:widowControl w:val="0"/>
      <w:spacing w:before="260" w:after="260" w:line="415" w:lineRule="auto"/>
      <w:outlineLvl w:val="2"/>
    </w:pPr>
    <w:rPr>
      <w:b/>
      <w:bCs/>
      <w:sz w:val="32"/>
      <w:szCs w:val="32"/>
    </w:rPr>
  </w:style>
  <w:style w:type="character" w:default="1" w:styleId="10">
    <w:name w:val="Default Paragraph Font"/>
  </w:style>
  <w:style w:type="paragraph" w:customStyle="1" w:styleId="15">
    <w:name w:val="List Paragraph"/>
    <w:basedOn w:val="0"/>
    <w:pPr>
      <w:ind w:firstLineChars="200" w:firstLine="200"/>
    </w:pPr>
  </w:style>
  <w:style w:type="character" w:styleId="16">
    <w:name w:val="Strong"/>
    <w:rPr>
      <w:b/>
    </w:rPr>
  </w:style>
  <w:style w:type="paragraph" w:styleId="17">
    <w:name w:val="Balloon Text"/>
    <w:basedOn w:val="0"/>
    <w:rPr>
      <w:sz w:val="18"/>
      <w:szCs w:val="18"/>
    </w:rPr>
  </w:style>
  <w:style w:type="paragraph" w:customStyle="1" w:styleId="18">
    <w:name w:val="TOC Heading"/>
    <w:basedOn w:val="1"/>
    <w:next w:val="0"/>
    <w:pPr>
      <w:keepNext/>
      <w:keepLines/>
      <w:widowControl/>
      <w:spacing w:before="480" w:after="0" w:line="276" w:lineRule="auto"/>
      <w:jc w:val="left"/>
      <w:outlineLvl w:val="9"/>
    </w:pPr>
    <w:rPr>
      <w:rFonts w:ascii="Cambria" w:eastAsia="宋体" w:cs="Times New Roman" w:hAnsi="Cambria"/>
      <w:color w:val="365F91"/>
      <w:kern w:val="0"/>
      <w:sz w:val="28"/>
      <w:szCs w:val="28"/>
    </w:rPr>
  </w:style>
  <w:style w:type="paragraph" w:styleId="19">
    <w:name w:val="toc 1"/>
    <w:basedOn w:val="0"/>
    <w:autoRedefine/>
    <w:next w:val="0"/>
  </w:style>
  <w:style w:type="paragraph" w:styleId="20">
    <w:name w:val="toc 2"/>
    <w:basedOn w:val="0"/>
    <w:autoRedefine/>
    <w:next w:val="0"/>
    <w:pPr>
      <w:ind w:leftChars="200" w:left="200"/>
    </w:pPr>
  </w:style>
  <w:style w:type="paragraph" w:styleId="21">
    <w:name w:val="toc 3"/>
    <w:basedOn w:val="0"/>
    <w:autoRedefine/>
    <w:next w:val="0"/>
    <w:pPr>
      <w:ind w:leftChars="400" w:left="400"/>
    </w:pPr>
  </w:style>
  <w:style w:type="character" w:styleId="22">
    <w:name w:val="Hyperlink"/>
    <w:basedOn w:val="10"/>
    <w:rPr>
      <w:color w:val="0000FF"/>
      <w:u w:val="single"/>
    </w:rPr>
  </w:style>
  <w:style w:type="paragraph" w:styleId="23">
    <w:name w:val="header"/>
    <w:basedOn w:val="0"/>
    <w:pPr>
      <w:pBdr>
        <w:bottom w:val="single" w:sz="6" w:space="1" w:color="auto"/>
      </w:pBdr>
      <w:tabs>
        <w:tab w:val="center" w:pos="4153"/>
        <w:tab w:val="right" w:pos="8306"/>
      </w:tabs>
      <w:snapToGrid w:val="0"/>
      <w:jc w:val="center"/>
    </w:pPr>
    <w:rPr>
      <w:sz w:val="18"/>
      <w:szCs w:val="18"/>
    </w:rPr>
  </w:style>
  <w:style w:type="paragraph" w:styleId="24">
    <w:name w:val="footer"/>
    <w:basedOn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40.png"/><Relationship Id="rId15" Type="http://schemas.openxmlformats.org/officeDocument/2006/relationships/image" Target="media/43.png"/><Relationship Id="rId16" Type="http://schemas.openxmlformats.org/officeDocument/2006/relationships/image" Target="media/46.png"/><Relationship Id="rId17" Type="http://schemas.openxmlformats.org/officeDocument/2006/relationships/image" Target="media/49.png"/><Relationship Id="rId18" Type="http://schemas.openxmlformats.org/officeDocument/2006/relationships/image" Target="media/52.png"/><Relationship Id="rId19" Type="http://schemas.openxmlformats.org/officeDocument/2006/relationships/image" Target="media/55.png"/><Relationship Id="rId20" Type="http://schemas.openxmlformats.org/officeDocument/2006/relationships/image" Target="media/58.png"/><Relationship Id="rId21" Type="http://schemas.openxmlformats.org/officeDocument/2006/relationships/image" Target="media/61.png"/><Relationship Id="rId22" Type="http://schemas.openxmlformats.org/officeDocument/2006/relationships/styles" Target="styles.xml"/><Relationship Id="rId23" Type="http://schemas.openxmlformats.org/officeDocument/2006/relationships/fontTable" Target="fontTable.xml"/></Relationships>
</file>

<file path=docProps/app.xml><?xml version="1.0" encoding="utf-8"?>
<Properties xmlns="http://schemas.openxmlformats.org/officeDocument/2006/extended-properties">
  <Template>Normal.eit</Template>
  <TotalTime>192</TotalTime>
  <Application>Yozo_Office</Application>
  <Pages>14</Pages>
  <Words>3727</Words>
  <Characters>3847</Characters>
  <Lines>252</Lines>
  <Paragraphs>162</Paragraphs>
  <CharactersWithSpaces>3860</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User</cp:lastModifiedBy>
  <cp:revision>2</cp:revision>
  <dcterms:created xsi:type="dcterms:W3CDTF">2015-11-27T07:46:00Z</dcterms:created>
</cp:coreProperties>
</file>